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956"/>
        <w:gridCol w:w="1446"/>
        <w:gridCol w:w="294"/>
        <w:gridCol w:w="1532"/>
        <w:gridCol w:w="2278"/>
        <w:gridCol w:w="236"/>
        <w:gridCol w:w="2890"/>
        <w:gridCol w:w="248"/>
      </w:tblGrid>
      <w:tr w:rsidR="0003731D" w:rsidRPr="0003731D" w:rsidTr="0003731D">
        <w:trPr>
          <w:trHeight w:val="300"/>
        </w:trPr>
        <w:tc>
          <w:tcPr>
            <w:tcW w:w="1956"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Level</w:t>
            </w:r>
          </w:p>
        </w:tc>
        <w:tc>
          <w:tcPr>
            <w:tcW w:w="1446"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294" w:type="dxa"/>
            <w:tcBorders>
              <w:top w:val="nil"/>
              <w:left w:val="nil"/>
              <w:bottom w:val="nil"/>
              <w:right w:val="nil"/>
            </w:tcBorders>
            <w:shd w:val="clear" w:color="auto" w:fill="auto"/>
            <w:vAlign w:val="bottom"/>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3810"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Provinsi Kalimantan Timur</w:t>
            </w:r>
          </w:p>
        </w:tc>
        <w:tc>
          <w:tcPr>
            <w:tcW w:w="236"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2890" w:type="dxa"/>
            <w:tcBorders>
              <w:top w:val="nil"/>
              <w:left w:val="nil"/>
              <w:bottom w:val="nil"/>
              <w:right w:val="nil"/>
            </w:tcBorders>
            <w:shd w:val="clear" w:color="auto" w:fill="auto"/>
            <w:vAlign w:val="bottom"/>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248"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255"/>
        </w:trPr>
        <w:tc>
          <w:tcPr>
            <w:tcW w:w="3402" w:type="dxa"/>
            <w:gridSpan w:val="2"/>
            <w:tcBorders>
              <w:top w:val="nil"/>
              <w:left w:val="nil"/>
              <w:bottom w:val="nil"/>
              <w:right w:val="nil"/>
            </w:tcBorders>
            <w:shd w:val="clear" w:color="auto" w:fill="auto"/>
            <w:noWrap/>
            <w:vAlign w:val="bottom"/>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Komponen</w:t>
            </w:r>
          </w:p>
        </w:tc>
        <w:tc>
          <w:tcPr>
            <w:tcW w:w="294" w:type="dxa"/>
            <w:tcBorders>
              <w:top w:val="nil"/>
              <w:left w:val="nil"/>
              <w:bottom w:val="nil"/>
              <w:right w:val="nil"/>
            </w:tcBorders>
            <w:shd w:val="clear" w:color="auto" w:fill="auto"/>
            <w:vAlign w:val="bottom"/>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3810" w:type="dxa"/>
            <w:gridSpan w:val="2"/>
            <w:tcBorders>
              <w:top w:val="nil"/>
              <w:left w:val="nil"/>
              <w:bottom w:val="nil"/>
              <w:right w:val="nil"/>
            </w:tcBorders>
            <w:shd w:val="clear" w:color="auto" w:fill="auto"/>
            <w:noWrap/>
            <w:vAlign w:val="bottom"/>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Implementasi Kinerja</w:t>
            </w:r>
          </w:p>
        </w:tc>
        <w:tc>
          <w:tcPr>
            <w:tcW w:w="236"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2890" w:type="dxa"/>
            <w:tcBorders>
              <w:top w:val="nil"/>
              <w:left w:val="nil"/>
              <w:bottom w:val="nil"/>
              <w:right w:val="nil"/>
            </w:tcBorders>
            <w:shd w:val="clear" w:color="auto" w:fill="auto"/>
            <w:vAlign w:val="bottom"/>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248"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255"/>
        </w:trPr>
        <w:tc>
          <w:tcPr>
            <w:tcW w:w="1956"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446"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294" w:type="dxa"/>
            <w:tcBorders>
              <w:top w:val="nil"/>
              <w:left w:val="nil"/>
              <w:bottom w:val="nil"/>
              <w:right w:val="nil"/>
            </w:tcBorders>
            <w:shd w:val="clear" w:color="auto" w:fill="auto"/>
            <w:vAlign w:val="bottom"/>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532"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2278"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236"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2890" w:type="dxa"/>
            <w:tcBorders>
              <w:top w:val="nil"/>
              <w:left w:val="nil"/>
              <w:bottom w:val="nil"/>
              <w:right w:val="nil"/>
            </w:tcBorders>
            <w:shd w:val="clear" w:color="auto" w:fill="auto"/>
            <w:vAlign w:val="bottom"/>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248"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255"/>
        </w:trPr>
        <w:tc>
          <w:tcPr>
            <w:tcW w:w="3696" w:type="dxa"/>
            <w:gridSpan w:val="3"/>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Isu dalam PGA REDD+</w:t>
            </w:r>
          </w:p>
        </w:tc>
        <w:tc>
          <w:tcPr>
            <w:tcW w:w="6936" w:type="dxa"/>
            <w:gridSpan w:val="4"/>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I. Perencanaan Kehutanan dan Tata Ruang </w:t>
            </w:r>
          </w:p>
        </w:tc>
        <w:tc>
          <w:tcPr>
            <w:tcW w:w="248"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300"/>
        </w:trPr>
        <w:tc>
          <w:tcPr>
            <w:tcW w:w="1956"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446"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29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84"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a. Tingkat penerimaan (legitimasi) atas dokumen RTRWP/RTRWK/Kehutanan</w:t>
            </w:r>
          </w:p>
        </w:tc>
      </w:tr>
      <w:tr w:rsidR="0003731D" w:rsidRPr="0003731D" w:rsidTr="0003731D">
        <w:trPr>
          <w:trHeight w:val="300"/>
        </w:trPr>
        <w:tc>
          <w:tcPr>
            <w:tcW w:w="3402"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Wawancara – Sumber informasi</w:t>
            </w:r>
          </w:p>
        </w:tc>
        <w:tc>
          <w:tcPr>
            <w:tcW w:w="29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84"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1139"/>
        <w:gridCol w:w="1134"/>
        <w:gridCol w:w="1460"/>
        <w:gridCol w:w="1092"/>
        <w:gridCol w:w="1701"/>
        <w:gridCol w:w="1129"/>
        <w:gridCol w:w="1848"/>
        <w:gridCol w:w="1382"/>
      </w:tblGrid>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FIa1</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Bagaimana (tingkat) penerimaan (legitimasi) </w:t>
            </w:r>
            <w:r w:rsidRPr="0003731D">
              <w:rPr>
                <w:rFonts w:ascii="Times New Roman" w:eastAsia="Times New Roman" w:hAnsi="Times New Roman" w:cs="Times New Roman"/>
                <w:i/>
                <w:iCs/>
                <w:sz w:val="20"/>
                <w:szCs w:val="20"/>
                <w:lang w:eastAsia="id-ID"/>
              </w:rPr>
              <w:t xml:space="preserve">stakeholder </w:t>
            </w:r>
            <w:r w:rsidRPr="0003731D">
              <w:rPr>
                <w:rFonts w:ascii="Times New Roman" w:eastAsia="Times New Roman" w:hAnsi="Times New Roman" w:cs="Times New Roman"/>
                <w:sz w:val="20"/>
                <w:szCs w:val="20"/>
                <w:lang w:eastAsia="id-ID"/>
              </w:rPr>
              <w:t>atas dokumen RTRWP/RTRWK/Kehutanan?</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29"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RTRWP masih belum final jadi kemungkinan masih ada celah-celah yang bisa dimanfaatkan oleh sejumlah pihak</w:t>
            </w:r>
          </w:p>
        </w:tc>
        <w:tc>
          <w:tcPr>
            <w:tcW w:w="138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2</w:t>
            </w:r>
          </w:p>
        </w:tc>
      </w:tr>
      <w:tr w:rsidR="0003731D" w:rsidRPr="0003731D" w:rsidTr="0003731D">
        <w:trPr>
          <w:trHeight w:val="204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PU</w:t>
            </w:r>
          </w:p>
        </w:tc>
        <w:tc>
          <w:tcPr>
            <w:tcW w:w="1701"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29"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both"/>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Dokumen Peraturan Daerah Tentang RTRWP diterima semua stake holder dalam jajaran pemerintahan, sedangkan mengenai tanah adat harus ada bukti historiesnya, perlu ada konsultasi dengan BPN, hak warga harus diakomodir dan untuk sekarang ini ditampung dulu, sementara RTRWP  yang sekarang tetap berjalan sambil nanti ada sesi revisi.</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4</w:t>
            </w:r>
          </w:p>
        </w:tc>
      </w:tr>
      <w:tr w:rsidR="0003731D" w:rsidRPr="0003731D" w:rsidTr="0003731D">
        <w:trPr>
          <w:trHeight w:val="331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29"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Informan berpendapat bahwa RTRWP/RTRWK yang baru-baru ini proses pengesahannya di tunda(pertemuan Komisi I DPRD Kaltim, Bappeda, Dishut dan Forum Dayak Menggugat(FDM), 29 Juni 2012)  menunjukkan bahwa RTRWP/RTRWK  itu jauh dari mandat partisipatif masyarakat, maka forum adat bersama yang diwakili FDM bersuara. Ini artinya </w:t>
            </w:r>
            <w:r w:rsidRPr="0003731D">
              <w:rPr>
                <w:rFonts w:ascii="Times New Roman" w:eastAsia="Times New Roman" w:hAnsi="Times New Roman" w:cs="Times New Roman"/>
                <w:sz w:val="20"/>
                <w:szCs w:val="20"/>
                <w:lang w:eastAsia="id-ID"/>
              </w:rPr>
              <w:lastRenderedPageBreak/>
              <w:t>selama ini informasi ke masyarakat  adat tidak ada, masyarakat tidak tahu dan tidak paham peruntukan kawasan mereka.</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lastRenderedPageBreak/>
              <w:t>Informan mempertanyakan stake holder yang mana? Kalau pemerintah dan investor bisa saja menerima tetapi tokoh-tokoh masyarakat belum tentu</w:t>
            </w:r>
          </w:p>
        </w:tc>
      </w:tr>
      <w:tr w:rsidR="0003731D" w:rsidRPr="0003731D" w:rsidTr="0003731D">
        <w:trPr>
          <w:trHeight w:val="255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29"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848" w:type="dxa"/>
            <w:tcBorders>
              <w:top w:val="nil"/>
              <w:left w:val="nil"/>
              <w:bottom w:val="nil"/>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 Field Note: Informan tidak tahu mengenai RTRWP/RTRWK. Informan hanya berpendapat bahwa saat ini mereka sudah membuat “Peta Wilayah Kelola Masyarakat Adat Kampung Muluy”,  yang sudah disetujui dan ditandatangai oleh wakil desa-desa tetangga dan harapannya bisa diakui oleh pemerintah. Padi Indonesia akan mengupayakan peta tersebut untuk dikirimkan ke Bappeda. </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tidak dapat memberi penilaian sangat rendah/sangat baik</w:t>
            </w:r>
          </w:p>
        </w:tc>
      </w:tr>
      <w:tr w:rsidR="0003731D" w:rsidRPr="0003731D" w:rsidTr="0003731D">
        <w:trPr>
          <w:trHeight w:val="102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Asosiasi Pengusaha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Tidak ada dokumen yang diterima terkait dengan penerimaan stakeholder atas dokumen RTRWP/ RTRWK/ Kehutanan. </w:t>
            </w:r>
          </w:p>
        </w:tc>
        <w:tc>
          <w:tcPr>
            <w:tcW w:w="1129" w:type="dxa"/>
            <w:tcBorders>
              <w:top w:val="nil"/>
              <w:left w:val="nil"/>
              <w:bottom w:val="single" w:sz="4" w:space="0" w:color="auto"/>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Saya melihat bahwa sampai saat ini kesesuaian RTRW dengan kondisi riil di lapangan belum optimal.</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r>
      <w:tr w:rsidR="0003731D" w:rsidRPr="0003731D" w:rsidTr="0003731D">
        <w:trPr>
          <w:trHeight w:val="178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Akademisi</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Harian Tribun Kaltim edisi 30 Juni 2012</w:t>
            </w:r>
          </w:p>
        </w:tc>
        <w:tc>
          <w:tcPr>
            <w:tcW w:w="1129" w:type="dxa"/>
            <w:tcBorders>
              <w:top w:val="nil"/>
              <w:left w:val="nil"/>
              <w:bottom w:val="single" w:sz="4" w:space="0" w:color="auto"/>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Sebahagian besar bisa menerima tetapi mungkin dari mulai awal proses untuk konsultasi publik sangat kurang disamping itu masyarakat tidak dilibatkan karena pembuatan RTRWP/RTRWK tidak terbuka sehingga reaksi justru timbul disaat </w:t>
            </w:r>
            <w:r w:rsidRPr="0003731D">
              <w:rPr>
                <w:rFonts w:ascii="Times New Roman" w:eastAsia="Times New Roman" w:hAnsi="Times New Roman" w:cs="Times New Roman"/>
                <w:sz w:val="20"/>
                <w:szCs w:val="20"/>
                <w:lang w:eastAsia="id-ID"/>
              </w:rPr>
              <w:lastRenderedPageBreak/>
              <w:t>dokumen RTRWP itu sudah selesai draftnya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lastRenderedPageBreak/>
              <w:t>3</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30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b. Jumlah luas  kawasan hutan yang dikukuhkan dan diterima oleh para pihak</w:t>
            </w:r>
          </w:p>
        </w:tc>
      </w:tr>
      <w:tr w:rsidR="0003731D" w:rsidRPr="0003731D" w:rsidTr="0003731D">
        <w:trPr>
          <w:trHeight w:val="735"/>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Wawancara – Sumber informasi</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4845"/>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FIb1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Jumlah luas kawasan hutan yang dikukuhkan dan dite-rima oleh para pihak</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Bagaimana penerimaan para pihak terhadap jumlah luas kawasan hutan yang telah dikukuhkan?</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Dalam Dokumen Rancang Bangun Wil.Kesatuan Pengelolaan Hutan Prov.Kaltim, Samarinda, 2010: Hutan yang dialokasikan untuk masyarakat 1,5 Juta ha </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3</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Rincian Kawasan Hutan Prov. Kaltim berdasarkan fungsi sesuai SK Menhut No.79/2001:</w:t>
            </w:r>
            <w:r w:rsidRPr="0003731D">
              <w:rPr>
                <w:rFonts w:ascii="Times New Roman" w:eastAsia="Times New Roman" w:hAnsi="Times New Roman" w:cs="Times New Roman"/>
                <w:sz w:val="20"/>
                <w:szCs w:val="20"/>
                <w:lang w:eastAsia="id-ID"/>
              </w:rPr>
              <w:br/>
              <w:t>1). Kawasan Hutan Konservasi:</w:t>
            </w:r>
            <w:r w:rsidRPr="0003731D">
              <w:rPr>
                <w:rFonts w:ascii="Times New Roman" w:eastAsia="Times New Roman" w:hAnsi="Times New Roman" w:cs="Times New Roman"/>
                <w:sz w:val="20"/>
                <w:szCs w:val="20"/>
                <w:lang w:eastAsia="id-ID"/>
              </w:rPr>
              <w:br/>
              <w:t xml:space="preserve">      a. Cagar Alam                                 : 173.272 ha</w:t>
            </w:r>
            <w:r w:rsidRPr="0003731D">
              <w:rPr>
                <w:rFonts w:ascii="Times New Roman" w:eastAsia="Times New Roman" w:hAnsi="Times New Roman" w:cs="Times New Roman"/>
                <w:sz w:val="20"/>
                <w:szCs w:val="20"/>
                <w:lang w:eastAsia="id-ID"/>
              </w:rPr>
              <w:br/>
              <w:t xml:space="preserve">      b. Taman Nasional                           : 1.930.076 ha</w:t>
            </w:r>
            <w:r w:rsidRPr="0003731D">
              <w:rPr>
                <w:rFonts w:ascii="Times New Roman" w:eastAsia="Times New Roman" w:hAnsi="Times New Roman" w:cs="Times New Roman"/>
                <w:sz w:val="20"/>
                <w:szCs w:val="20"/>
                <w:lang w:eastAsia="id-ID"/>
              </w:rPr>
              <w:br/>
              <w:t xml:space="preserve">     c. Hutan Wisata Alam                        : 61.850 ha</w:t>
            </w:r>
            <w:r w:rsidRPr="0003731D">
              <w:rPr>
                <w:rFonts w:ascii="Times New Roman" w:eastAsia="Times New Roman" w:hAnsi="Times New Roman" w:cs="Times New Roman"/>
                <w:sz w:val="20"/>
                <w:szCs w:val="20"/>
                <w:lang w:eastAsia="id-ID"/>
              </w:rPr>
              <w:br/>
              <w:t>2). Hutan Lindung                                    : 2.751.702 ha</w:t>
            </w:r>
            <w:r w:rsidRPr="0003731D">
              <w:rPr>
                <w:rFonts w:ascii="Times New Roman" w:eastAsia="Times New Roman" w:hAnsi="Times New Roman" w:cs="Times New Roman"/>
                <w:sz w:val="20"/>
                <w:szCs w:val="20"/>
                <w:lang w:eastAsia="id-ID"/>
              </w:rPr>
              <w:br/>
              <w:t>3). Hutan Produksi Terbatas                    : 4.612.965 ha</w:t>
            </w:r>
            <w:r w:rsidRPr="0003731D">
              <w:rPr>
                <w:rFonts w:ascii="Times New Roman" w:eastAsia="Times New Roman" w:hAnsi="Times New Roman" w:cs="Times New Roman"/>
                <w:sz w:val="20"/>
                <w:szCs w:val="20"/>
                <w:lang w:eastAsia="id-ID"/>
              </w:rPr>
              <w:br/>
              <w:t>4). Hutan Produksi Tetap                         : 5.121.553 ha</w:t>
            </w:r>
            <w:r w:rsidRPr="0003731D">
              <w:rPr>
                <w:rFonts w:ascii="Times New Roman" w:eastAsia="Times New Roman" w:hAnsi="Times New Roman" w:cs="Times New Roman"/>
                <w:sz w:val="20"/>
                <w:szCs w:val="20"/>
                <w:lang w:eastAsia="id-ID"/>
              </w:rPr>
              <w:br/>
            </w:r>
            <w:r w:rsidRPr="0003731D">
              <w:rPr>
                <w:rFonts w:ascii="Times New Roman" w:eastAsia="Times New Roman" w:hAnsi="Times New Roman" w:cs="Times New Roman"/>
                <w:sz w:val="20"/>
                <w:szCs w:val="20"/>
                <w:lang w:eastAsia="id-ID"/>
              </w:rPr>
              <w:br/>
              <w:t>Ketika diadakan workshop tidak banyak yang memberikan masukan</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tidak dapat memberi penilaian</w:t>
            </w:r>
          </w:p>
        </w:tc>
      </w:tr>
      <w:tr w:rsidR="0003731D" w:rsidRPr="0003731D" w:rsidTr="0003731D">
        <w:trPr>
          <w:trHeight w:val="127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 SK Menhut No.79/2001 </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4</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Dilihat dari luas Kaltim yang  sekitar  21 Juta ha, Kawasan Hutan Prov. Kaltim berdasarkan fungsi sesuai SK Menhut No.79/2001 ditetapkan 14,4 Juta ha itu harusnya itu sudah safety untuk ecology buffer.</w:t>
            </w:r>
          </w:p>
        </w:tc>
        <w:tc>
          <w:tcPr>
            <w:tcW w:w="138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4</w:t>
            </w:r>
          </w:p>
        </w:tc>
      </w:tr>
      <w:tr w:rsidR="0003731D" w:rsidRPr="0003731D" w:rsidTr="0003731D">
        <w:trPr>
          <w:trHeight w:val="255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Organisasi Masyarakat Adat Lokal</w:t>
            </w:r>
          </w:p>
        </w:tc>
        <w:tc>
          <w:tcPr>
            <w:tcW w:w="1701" w:type="dxa"/>
            <w:tcBorders>
              <w:top w:val="nil"/>
              <w:left w:val="nil"/>
              <w:bottom w:val="nil"/>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Dokumen Pemerintah Prov.Kaltim tentang Draft Peraturan Daerah Tentang Rencana Tata Ruang Wilayah Prov.Kaltim Tahun 2011 - 2013</w:t>
            </w:r>
          </w:p>
        </w:tc>
        <w:tc>
          <w:tcPr>
            <w:tcW w:w="1129" w:type="dxa"/>
            <w:tcBorders>
              <w:top w:val="nil"/>
              <w:left w:val="nil"/>
              <w:bottom w:val="nil"/>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nil"/>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 Field Note: Informan tidak tahu mengenai RTRWP/RTRWK. Informan hanya berpendapat bahwa saat ini mereka sudah membuat “Peta Wilayah Kelola Masyarakat Adat Kampung Muluy”,  yang sudah disetujui dan ditandatangai oleh wakil desa-desa tetangga dan harapannya bisa diakui oleh pemerintah. PADI Indonesia akan mengupayakan peta tersebut untuk dikirimkan ke Bappeda. </w:t>
            </w:r>
          </w:p>
        </w:tc>
        <w:tc>
          <w:tcPr>
            <w:tcW w:w="1382" w:type="dxa"/>
            <w:tcBorders>
              <w:top w:val="nil"/>
              <w:left w:val="nil"/>
              <w:bottom w:val="nil"/>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tidak dapat memberi penilaian sangat rendah/sangat baik</w:t>
            </w:r>
          </w:p>
        </w:tc>
      </w:tr>
      <w:tr w:rsidR="0003731D" w:rsidRPr="0003731D" w:rsidTr="0003731D">
        <w:trPr>
          <w:trHeight w:val="76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Akademisi</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dokumen/tidak tersedia/tidak dimiliki</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single" w:sz="4" w:space="0" w:color="auto"/>
              <w:left w:val="nil"/>
              <w:bottom w:val="single" w:sz="4" w:space="0" w:color="auto"/>
              <w:right w:val="single" w:sz="4" w:space="0" w:color="auto"/>
            </w:tcBorders>
            <w:shd w:val="clear" w:color="auto" w:fill="auto"/>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Beberapa kabupaten menolakya, seperti PPU dan Kutai Timur terutama peruntukan untuk APL dan KBK</w:t>
            </w:r>
          </w:p>
        </w:tc>
        <w:tc>
          <w:tcPr>
            <w:tcW w:w="1382" w:type="dxa"/>
            <w:tcBorders>
              <w:top w:val="single" w:sz="4" w:space="0" w:color="auto"/>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2</w:t>
            </w:r>
          </w:p>
        </w:tc>
      </w:tr>
      <w:tr w:rsidR="0003731D" w:rsidRPr="0003731D" w:rsidTr="0003731D">
        <w:trPr>
          <w:trHeight w:val="408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UPT BKPH</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dokumen/tidak tersedia/tidak dimiliki</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Secara legalitas menjadi jelas. Pengukuhan kawasan ini menjadi rujukan untuk mengelola hutan tetapi harus juga dilihat secara rinci yang berhubungan dengan masyarakat karena mereka  tidak homogen. Ada masyarakat yang memang bergantung pada hutan tapi ada juga yang tidak. Dimana ada masyarakat  yang menghendaki KBK (Kawasan Budidaya Konservasi) dan KB-Non-K. Masing-masing mereka punya motif yang berbeda.</w:t>
            </w:r>
            <w:r w:rsidRPr="0003731D">
              <w:rPr>
                <w:rFonts w:ascii="Times New Roman" w:eastAsia="Times New Roman" w:hAnsi="Times New Roman" w:cs="Times New Roman"/>
                <w:sz w:val="20"/>
                <w:szCs w:val="20"/>
                <w:lang w:eastAsia="id-ID"/>
              </w:rPr>
              <w:br/>
              <w:t>Pemerintah pun juga demikian; ada yang pro-KBK tapi juga ada yang menginginkan KBNK. Samapai saat ini hal-hal yang berkaitan dengan hutan penuh vested interest yang tinggi.</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3</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64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c. Jumlah tata- ruang kelola masyarakat adat/lokal yang terakomodir dalam tata-ruang propinsi dan/atau kabupaten</w:t>
            </w:r>
          </w:p>
        </w:tc>
      </w:tr>
      <w:tr w:rsidR="0003731D" w:rsidRPr="0003731D" w:rsidTr="0003731D">
        <w:trPr>
          <w:trHeight w:val="975"/>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Wawancara – Sumber informasi</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1530"/>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FIc1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Jumlah tata-ruang kelola ma-syarakat adat/lokal yang ter-akomodir dalam tata-ruang pro-pinsi dan/atau kabupaten</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Apakah jumlah tata-ruang kelola masyarakat adat/lokal yang terakomodir dalam tata-ruang propinsi dan/atau kabupaten sudah memadai?</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Dalam Dokumen Pemerintah Prov.Kaltim tentang Draft Peraturan Daerah Tentang Rencana Tata Ruang Wilayah Prov.Kaltim Tahun 2011 - 2013</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Sampai saat ini hak adat dan hutan adat belum terakomodasi dalam tata ruang</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tidak dapat memberikan jawaban memadai/tidak memadai</w:t>
            </w:r>
          </w:p>
        </w:tc>
      </w:tr>
      <w:tr w:rsidR="0003731D" w:rsidRPr="0003731D" w:rsidTr="0003731D">
        <w:trPr>
          <w:trHeight w:val="102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Dalam Dokumen Pemerintah Prov.Kaltim tentang Draft Peraturan Daerah Tentang Rencana Tata Ruang Wilayah Prov.Kaltim Tahun 2011 - 2013</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sama sekali, karena beberapa masyarakat  yang mengajukan kawasan hutan desa/adatnya tidak diakomodir</w:t>
            </w:r>
          </w:p>
        </w:tc>
        <w:tc>
          <w:tcPr>
            <w:tcW w:w="138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4</w:t>
            </w:r>
          </w:p>
        </w:tc>
      </w:tr>
      <w:tr w:rsidR="0003731D" w:rsidRPr="0003731D" w:rsidTr="0003731D">
        <w:trPr>
          <w:trHeight w:val="178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UPT BKPH</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dokumen/tidak tersedia/tidak dimiliki</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Undang-Undang No 41 tentang Kehutanan juga menyinggung soal keberadaan masyarakat adat. Namun peraturan turunannya yang belum jelas. Sehingga ke bawahnya masih sulit diterapkan. Bukti otentik kepemilikan lahan juga sulit untuk dibuktikan.</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3</w:t>
            </w:r>
          </w:p>
        </w:tc>
      </w:tr>
      <w:tr w:rsidR="0003731D" w:rsidRPr="0003731D" w:rsidTr="0003731D">
        <w:trPr>
          <w:trHeight w:val="255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Dalam Dokumen Pemerintah Prov.Kaltim tentang Draft Peraturan Daerah Tentang Rencana Tata Ruang Wilayah Prov.Kaltim Tahun 2011 - 2013</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 Field Note: Informan tidak tahu mengenai RTRWP/RTRWK. Informan hanya berpendapat bahwa saat ini mereka sudah membuat “Peta Wilayah Kelola Masyarakat Adat Kampung Muluy”,  yang sudah disetujui dan ditandatangai oleh wakil desa-desa tetangga dan harapannya bisa diakui oleh pemerintah. PADI Indonesia akan mengupayakan peta tersebut untuk dikirimkan ke Bappeda. </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tidak dapat memberi penilaian sangat rendah/sangat baik</w:t>
            </w:r>
          </w:p>
        </w:tc>
      </w:tr>
      <w:tr w:rsidR="0003731D" w:rsidRPr="0003731D" w:rsidTr="0003731D">
        <w:trPr>
          <w:trHeight w:val="204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Akademisi</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dokumen/tidak tersedia/tidak dimiliki</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Masih simpang siur. Masyarakat adat/lokal tidak begitu peduli dengan tata ruang; yang penting mereka masih bisa mengelola lahan yang mereka miliki. Kecuali bila suatu saat law enforcement dijalankan, mungkin konflik baru akan muncul. Soal keterwakilan masyarakat adat dalam tim penyusunan tata ruang mungkin juga tidak ada.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2</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72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d. Jumlah konflik penguasaan kawasan yang dapat difasilitasi penyelesaiannya dalam setiap tahun</w:t>
            </w:r>
          </w:p>
        </w:tc>
      </w:tr>
      <w:tr w:rsidR="0003731D" w:rsidRPr="0003731D" w:rsidTr="0003731D">
        <w:trPr>
          <w:trHeight w:val="105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Wawancara – Sumber informasi</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1530"/>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lastRenderedPageBreak/>
              <w:t>FId1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Jumlah konflik penguasaan kawasan yang dapat difasilitasi penyelesaiannya dalam setiap tahun</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Apakah jumlah konflik penguasaan kawasan yang dapat difasilitasi penyelesaiannya dalam setiap tahun sudah memadai?</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 yang diterima terkait dengan penyelesaian konflik</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Field Note: Informan hanya berpendapat bahwa kalaupun ada konflik, diusahakan sebisanya untuk dapat diselesaikan di tempat dan dibiarkan mereda dengan sendirinya. Dan sampai saat ini bila ada konflik, ada mediasi dari LSM seperti WWF.</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tidak dapat memberi penilaian memadai/tidak memadai</w:t>
            </w:r>
          </w:p>
        </w:tc>
      </w:tr>
      <w:tr w:rsidR="0003731D" w:rsidRPr="0003731D" w:rsidTr="0003731D">
        <w:trPr>
          <w:trHeight w:val="204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Progress Report WALHI Kalimantan Timur Tahun 2007 - 2010</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3</w:t>
            </w:r>
          </w:p>
        </w:tc>
        <w:tc>
          <w:tcPr>
            <w:tcW w:w="1848" w:type="dxa"/>
            <w:tcBorders>
              <w:top w:val="nil"/>
              <w:left w:val="nil"/>
              <w:bottom w:val="nil"/>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berpendapat seharusnya tidak ada lagi permasalahan penyerobotan kawasan kalau setiap pihak saling menghormati dan menaati setiap kesepakatan yang sudah disetujui.</w:t>
            </w:r>
            <w:r w:rsidRPr="0003731D">
              <w:rPr>
                <w:rFonts w:ascii="Times New Roman" w:eastAsia="Times New Roman" w:hAnsi="Times New Roman" w:cs="Times New Roman"/>
                <w:sz w:val="20"/>
                <w:szCs w:val="20"/>
                <w:lang w:eastAsia="id-ID"/>
              </w:rPr>
              <w:br/>
              <w:t>Sejang tahun 2008 hasil monitoring Walhi Ada 40 kasus tentang kelapa sawit</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br/>
              <w:t>Informan berpendapat ini bukan masalah memadai atau tidak memadai</w:t>
            </w:r>
          </w:p>
        </w:tc>
      </w:tr>
      <w:tr w:rsidR="0003731D" w:rsidRPr="0003731D" w:rsidTr="0003731D">
        <w:trPr>
          <w:trHeight w:val="306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UPT BKPH</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dokumen/tidak tersedia/tidak dimiliki</w:t>
            </w:r>
          </w:p>
        </w:tc>
        <w:tc>
          <w:tcPr>
            <w:tcW w:w="1129" w:type="dxa"/>
            <w:tcBorders>
              <w:top w:val="nil"/>
              <w:left w:val="nil"/>
              <w:bottom w:val="single" w:sz="4" w:space="0" w:color="auto"/>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Fasilitasi penyelesaian konflik cukup memadai. Pemerintah daerah biasanya memfasilitasi penyelesaiannya. Aparat/polres juga kadang turun untuk mengantisipasi hal-hal yang tidak diinginkan. Bidang Perlindungan Hutan biasanya yang terlibat dalam penyelesaian konflik semacam itu.Dalam beberapa kasus konflik, BPKH menjadi saksi ahli.Kadang masyarakat berspekulasi dengan status kepemilikan lahan bersama oknum desa dan kecamatan, denga surat-surat tertentu.</w:t>
            </w:r>
          </w:p>
        </w:tc>
        <w:tc>
          <w:tcPr>
            <w:tcW w:w="138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3</w:t>
            </w:r>
          </w:p>
        </w:tc>
      </w:tr>
      <w:tr w:rsidR="0003731D" w:rsidRPr="0003731D" w:rsidTr="0003731D">
        <w:trPr>
          <w:trHeight w:val="331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 yang diterima terkait dengan konflik penguasaan kawasan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Informan tidak tahu tentang konflik yang ditangani oleh pemerintah, informan hanya bisa memberikan pendapat bahwa selama ini ada pendampingan dari Yay. Padi untuk menyelesaikan konflik dengan desa-desa tetangga yang kadang-kadang menggeser batas kampung, orang-orang luar yang datang untuk menebang kayu dan melakukan penambangan, tetapi </w:t>
            </w:r>
            <w:r w:rsidRPr="0003731D">
              <w:rPr>
                <w:rFonts w:ascii="Times New Roman" w:eastAsia="Times New Roman" w:hAnsi="Times New Roman" w:cs="Times New Roman"/>
                <w:sz w:val="20"/>
                <w:szCs w:val="20"/>
                <w:lang w:eastAsia="id-ID"/>
              </w:rPr>
              <w:lastRenderedPageBreak/>
              <w:t>karena jauhnya Kampung Muluy dari Balikpapan(kantor Yay.Padi) menyebabkan tidak bisa langsung didampingi oleh PADI Indonesia padahal sangat kami butuhkan disaat ada masalah.</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lastRenderedPageBreak/>
              <w:t>Informan tidak dapat memberi penilaian memadai/tidak memadai</w:t>
            </w:r>
          </w:p>
        </w:tc>
      </w:tr>
      <w:tr w:rsidR="0003731D" w:rsidRPr="0003731D" w:rsidTr="0003731D">
        <w:trPr>
          <w:trHeight w:val="306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Akademisi</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dokumen/tidak tersedia/tidak dimiliki</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Pasti ada konflik penguasaan kawasan tetapi biasanya setelah mencuat ke permukaan baru dilakukan mediasi tetapi lebih banyak bersifat spekulasi, kalaupun ada mediasi yang dilakukan biasanya antar masing-masing pihak yang berkonflik dengan para investor dan mungkin dibantu oleh pihak LSM seperti Nurani Perempuan tetapi saya tidak tahu hasilnya bagaimana. Saat ini TNC berencana membuat badan pengelolaan di Berau untuk mengelola bagaimana pembagian hasil produksi hutan, keuntungannya, dsb.</w:t>
            </w:r>
          </w:p>
        </w:tc>
        <w:tc>
          <w:tcPr>
            <w:tcW w:w="138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2</w:t>
            </w:r>
          </w:p>
        </w:tc>
      </w:tr>
      <w:tr w:rsidR="0003731D" w:rsidRPr="0003731D" w:rsidTr="0003731D">
        <w:trPr>
          <w:trHeight w:val="1530"/>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FId2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Hasil mediasi bisa diterima oleh semua pihak dan dijalankan secara konsisten</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Apakah hasil mediasi bisa diterima oleh semua pihak dan dijalankan secara konsisten?</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 yang diterima terkait dengan penyelesaian konflik</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Field Note: Informan hanya berpendapat bahwa kalaupun ada konflik, diusahakan sebisanya untuk dapat diselesaikan di tempat dan dibiarkan mereda dengan sendirinya. Dan sampai saat ini bila ada konflik, ada mediasi dari LSM seperti WWF.</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tidak dapat memberi penilaian memadai/tidak memadai</w:t>
            </w:r>
          </w:p>
        </w:tc>
      </w:tr>
      <w:tr w:rsidR="0003731D" w:rsidRPr="0003731D" w:rsidTr="0003731D">
        <w:trPr>
          <w:trHeight w:val="127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Progress Report WALHI Kalimantan Timur Tahun 2007 - 2010</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3</w:t>
            </w:r>
          </w:p>
        </w:tc>
        <w:tc>
          <w:tcPr>
            <w:tcW w:w="1848" w:type="dxa"/>
            <w:tcBorders>
              <w:top w:val="nil"/>
              <w:left w:val="nil"/>
              <w:bottom w:val="nil"/>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Sepanjang mediasi yang sudah berhasil dilakukan setiap pihak menerima kesepakatan yang sudah ditetapkan tetapi kalau monitoring tidak tetap dilakukan, kadang kala ada timbul masalah.</w:t>
            </w:r>
          </w:p>
        </w:tc>
        <w:tc>
          <w:tcPr>
            <w:tcW w:w="1382" w:type="dxa"/>
            <w:tcBorders>
              <w:top w:val="nil"/>
              <w:left w:val="nil"/>
              <w:bottom w:val="nil"/>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4</w:t>
            </w:r>
          </w:p>
        </w:tc>
      </w:tr>
      <w:tr w:rsidR="0003731D" w:rsidRPr="0003731D" w:rsidTr="0003731D">
        <w:trPr>
          <w:trHeight w:val="102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UPT BKPH</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dokumen/tidak tersedia/tidak dimiliki</w:t>
            </w:r>
          </w:p>
        </w:tc>
        <w:tc>
          <w:tcPr>
            <w:tcW w:w="1129" w:type="dxa"/>
            <w:tcBorders>
              <w:top w:val="nil"/>
              <w:left w:val="nil"/>
              <w:bottom w:val="single" w:sz="4" w:space="0" w:color="auto"/>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Sampai sejauh ini mediasi penyelesaian konflik bisa diterima semua pihak.Berita acara pun juga dibuat untuk mendukung penaatan </w:t>
            </w:r>
            <w:r w:rsidRPr="0003731D">
              <w:rPr>
                <w:rFonts w:ascii="Times New Roman" w:eastAsia="Times New Roman" w:hAnsi="Times New Roman" w:cs="Times New Roman"/>
                <w:sz w:val="20"/>
                <w:szCs w:val="20"/>
                <w:lang w:eastAsia="id-ID"/>
              </w:rPr>
              <w:lastRenderedPageBreak/>
              <w:t>hasil mediasi tersebut.</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lastRenderedPageBreak/>
              <w:t>3</w:t>
            </w:r>
          </w:p>
        </w:tc>
      </w:tr>
      <w:tr w:rsidR="0003731D" w:rsidRPr="0003731D" w:rsidTr="0003731D">
        <w:trPr>
          <w:trHeight w:val="331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 yang diterima terkait dengan konflik penguasaan kawasan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tidak tahu tentang konflik yang ditangani oleh pemerintah, informan hanya bisa memberikan pendapat bahwa selama ini ada pendampingan dari Yay. Padi untuk menyelesaikan konflik dengan desa-desa tetangga yang kadang-kadang menggeser batas kampung, orang-orang luar yang datang untuk menebang kayu dan melakukan penambangan, tetapi karena jauhnya Kampung Muluy dari Balikpapan(kantor Yay.Padi) menyebabkan tidak bisa langsung didampingi oleh PADI Indonesia padahal sangat kami butuhkan disaat ada masalah.</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tidak dapat memberi penilaian memadai/tidak memadai</w:t>
            </w:r>
          </w:p>
        </w:tc>
      </w:tr>
      <w:tr w:rsidR="0003731D" w:rsidRPr="0003731D" w:rsidTr="0003731D">
        <w:trPr>
          <w:trHeight w:val="306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Akademisi</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dokumen/tidak tersedia/tidak dimiliki</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Pasti ada konflik penguasaan kawasan tetapi biasanya setelah mencuat ke permukaan baru dilakukan mediasi tetapi lebih banyak bersifat spekulasi, kalaupun ada mediasi yang dilakukan biasanya antar masing-masing pihak yang berkonflik dengan para investor dan mungkin dibantu oleh pihak LSM seperti Nurani Perempuan tetapi saya tidak tahu hasilnya bagaimana. Saat ini TNC berencana membuat badan pengelolaan di Berau untuk mengelola bagaimana pembagian hasil produksi hutan, keuntungannya, dsb.</w:t>
            </w:r>
          </w:p>
        </w:tc>
        <w:tc>
          <w:tcPr>
            <w:tcW w:w="138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2</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255"/>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Isu dalam PGA REDD+</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279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II. Pengaturan Hak  </w:t>
            </w:r>
          </w:p>
        </w:tc>
        <w:tc>
          <w:tcPr>
            <w:tcW w:w="112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848"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p>
        </w:tc>
      </w:tr>
      <w:tr w:rsidR="0003731D" w:rsidRPr="0003731D" w:rsidTr="0003731D">
        <w:trPr>
          <w:trHeight w:val="60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a. Jumlah hak masyarakat dan bisnis yang telah diadministrasikan pada Unit yang mengadministrasikan hak </w:t>
            </w:r>
            <w:r w:rsidRPr="0003731D">
              <w:rPr>
                <w:rFonts w:ascii="Times New Roman" w:eastAsia="Times New Roman" w:hAnsi="Times New Roman" w:cs="Times New Roman"/>
                <w:b/>
                <w:bCs/>
                <w:sz w:val="20"/>
                <w:szCs w:val="20"/>
                <w:lang w:eastAsia="id-ID"/>
              </w:rPr>
              <w:br/>
              <w:t xml:space="preserve">   masyarakat dan bisnis di Kementerian/SKPD </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 Kementerian/Dinas Kehutanan (Unit Pemberi Izin)</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Panduan Analisis </w:t>
            </w:r>
            <w:r w:rsidRPr="0003731D">
              <w:rPr>
                <w:rFonts w:ascii="Times New Roman" w:eastAsia="Times New Roman" w:hAnsi="Times New Roman" w:cs="Times New Roman"/>
                <w:b/>
                <w:bCs/>
                <w:sz w:val="20"/>
                <w:szCs w:val="20"/>
                <w:lang w:eastAsia="id-ID"/>
              </w:rPr>
              <w:lastRenderedPageBreak/>
              <w:t>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lastRenderedPageBreak/>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Kategori Data </w:t>
            </w:r>
            <w:r w:rsidRPr="0003731D">
              <w:rPr>
                <w:rFonts w:ascii="Times New Roman" w:eastAsia="Times New Roman" w:hAnsi="Times New Roman" w:cs="Times New Roman"/>
                <w:b/>
                <w:bCs/>
                <w:sz w:val="20"/>
                <w:szCs w:val="20"/>
                <w:lang w:eastAsia="id-ID"/>
              </w:rPr>
              <w:lastRenderedPageBreak/>
              <w:t>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lastRenderedPageBreak/>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Kategori Data </w:t>
            </w:r>
            <w:r w:rsidRPr="0003731D">
              <w:rPr>
                <w:rFonts w:ascii="Times New Roman" w:eastAsia="Times New Roman" w:hAnsi="Times New Roman" w:cs="Times New Roman"/>
                <w:b/>
                <w:bCs/>
                <w:sz w:val="20"/>
                <w:szCs w:val="20"/>
                <w:lang w:eastAsia="id-ID"/>
              </w:rPr>
              <w:lastRenderedPageBreak/>
              <w:t>Wawancara</w:t>
            </w:r>
          </w:p>
        </w:tc>
      </w:tr>
      <w:tr w:rsidR="0003731D" w:rsidRPr="0003731D" w:rsidTr="0003731D">
        <w:trPr>
          <w:trHeight w:val="273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lastRenderedPageBreak/>
              <w:t>FIIa1</w:t>
            </w:r>
          </w:p>
        </w:tc>
        <w:tc>
          <w:tcPr>
            <w:tcW w:w="1134"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Jumlah hak masyarakat dan bisnis yang telah diadministra-sikan pada Unit yang mengad-ministrasikan hak masyarakat dan bisnis di Kementerian/SKPD  </w:t>
            </w:r>
          </w:p>
        </w:tc>
        <w:tc>
          <w:tcPr>
            <w:tcW w:w="1460" w:type="dxa"/>
            <w:tcBorders>
              <w:top w:val="nil"/>
              <w:left w:val="nil"/>
              <w:bottom w:val="single" w:sz="4" w:space="0" w:color="auto"/>
              <w:right w:val="single" w:sz="4" w:space="0" w:color="auto"/>
            </w:tcBorders>
            <w:shd w:val="clear" w:color="auto" w:fill="auto"/>
            <w:noWrap/>
            <w:vAlign w:val="bottom"/>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1). Dalam Rencana Kerja(Renja) SKPD Dishut Prov.Kaltim Thn 2010 &amp; 2012: Tidak ada aloksikan dana untuk unit yang mengadministrasikan hak masyarakat adat. 2). Dalam Rekapitulasi Sebaran PNS Dishut Prov.Kaltim &amp; UPTD Lingkup Dishut Prov.Kaltim tahun 2010 - 2012: tidak/belum ada unit kerja unit untuk mengadministrasikan hak masyarakat adat. </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72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b. Jumlah hak masyarakat dan bisnis yang telah diadministrasikan pada Unit yang mengadministrasikan hak masyarakat dan bisnis di Kementerian/SKPD </w:t>
            </w:r>
          </w:p>
        </w:tc>
      </w:tr>
      <w:tr w:rsidR="0003731D" w:rsidRPr="0003731D" w:rsidTr="0003731D">
        <w:trPr>
          <w:trHeight w:val="81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 Bagian Perencanaan (Dirjen Planologi, UPT/BPKH, Dinas Kehutanan Kabupaten);</w:t>
            </w:r>
            <w:r w:rsidRPr="0003731D">
              <w:rPr>
                <w:rFonts w:ascii="Times New Roman" w:eastAsia="Times New Roman" w:hAnsi="Times New Roman" w:cs="Times New Roman"/>
                <w:b/>
                <w:bCs/>
                <w:sz w:val="20"/>
                <w:szCs w:val="20"/>
                <w:lang w:eastAsia="id-ID"/>
              </w:rPr>
              <w:br/>
              <w:t xml:space="preserve">  Kementerian/Dinas Kehutanan (Unit Pemberi Izin)</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FIIb1</w:t>
            </w:r>
          </w:p>
        </w:tc>
        <w:tc>
          <w:tcPr>
            <w:tcW w:w="1134"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Jumlah luas kawasan hutan yang tumpang tindih dengan penggunaan lahan lain  </w:t>
            </w:r>
          </w:p>
        </w:tc>
        <w:tc>
          <w:tcPr>
            <w:tcW w:w="1460" w:type="dxa"/>
            <w:tcBorders>
              <w:top w:val="nil"/>
              <w:left w:val="nil"/>
              <w:bottom w:val="single" w:sz="4" w:space="0" w:color="auto"/>
              <w:right w:val="single" w:sz="4" w:space="0" w:color="auto"/>
            </w:tcBorders>
            <w:shd w:val="clear" w:color="auto" w:fill="auto"/>
            <w:noWrap/>
            <w:vAlign w:val="bottom"/>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 yang diterima terkait dengan tumpang tindih kawasan hutan untuk penggunaan lahan lain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42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c. Jumlah konflik antar sesama penggunaan kawasan hutan </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 Bagian Perencanaan (Dirjen Planologi, UPT/BPKH, Dinas Kehutanan Kabupaten); LSM  (Provinsi &amp; Daerah)</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765"/>
        </w:trPr>
        <w:tc>
          <w:tcPr>
            <w:tcW w:w="113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FIIc1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Jumlah konflik antar sesama penggunaan kawasan hutan </w:t>
            </w:r>
          </w:p>
        </w:tc>
        <w:tc>
          <w:tcPr>
            <w:tcW w:w="146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 yang diterima terkait dengan tumpang tindih kawasan hutan untuk penggunaan lahan lain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255"/>
        </w:trPr>
        <w:tc>
          <w:tcPr>
            <w:tcW w:w="1139"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57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d. Jumlah praktik terbaik (best practices) atas resolusi konflik terkait pengakuan hak masy adat/lokal</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Wawancara - Sumber informasi</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 Pemerintah (Pusat &amp; Daerah), LSM, AMAN</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lastRenderedPageBreak/>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1530"/>
        </w:trPr>
        <w:tc>
          <w:tcPr>
            <w:tcW w:w="1139" w:type="dxa"/>
            <w:vMerge w:val="restart"/>
            <w:tcBorders>
              <w:top w:val="nil"/>
              <w:left w:val="single" w:sz="4" w:space="0" w:color="auto"/>
              <w:bottom w:val="single" w:sz="4" w:space="0" w:color="auto"/>
              <w:right w:val="single" w:sz="4" w:space="0" w:color="auto"/>
            </w:tcBorders>
            <w:shd w:val="clear" w:color="000000" w:fill="FFFF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Jumlah praktik terbaik (best practices) atas resolusi konflik terkait pengakuan hak masyara-kat adat/lokal </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Jumlah praktik terbaik (</w:t>
            </w:r>
            <w:r w:rsidRPr="0003731D">
              <w:rPr>
                <w:rFonts w:ascii="Times New Roman" w:eastAsia="Times New Roman" w:hAnsi="Times New Roman" w:cs="Times New Roman"/>
                <w:i/>
                <w:iCs/>
                <w:sz w:val="20"/>
                <w:szCs w:val="20"/>
                <w:lang w:eastAsia="id-ID"/>
              </w:rPr>
              <w:t>best practices</w:t>
            </w:r>
            <w:r w:rsidRPr="0003731D">
              <w:rPr>
                <w:rFonts w:ascii="Times New Roman" w:eastAsia="Times New Roman" w:hAnsi="Times New Roman" w:cs="Times New Roman"/>
                <w:sz w:val="20"/>
                <w:szCs w:val="20"/>
                <w:lang w:eastAsia="id-ID"/>
              </w:rPr>
              <w:t>) atas resolusi konflik terkait pengakuan hak masyarakat adat/lokal</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Dokumen Pemerintah Prov.Kaltim tentang Draft Peraturan Daerah Tentang Rencana Tata Ruang Wilayah Prov.Kaltim Tahun 2011 - 2013</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Sampai saat ini hak adat dan hutan adat belum terakomodasi dalam tata ruang jadi belum ada best practise yang dilakukan kaitannya dengan pengakuan hak masyarakat adat/lokal</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tidak dapat memberikan jawaban memadai/tidak memadai</w:t>
            </w:r>
          </w:p>
        </w:tc>
      </w:tr>
      <w:tr w:rsidR="0003731D" w:rsidRPr="0003731D" w:rsidTr="0003731D">
        <w:trPr>
          <w:trHeight w:val="153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 yang diterima terkait dengan partisipasi best practise</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Sampai saat ini belum ada best practices yang dilakukan oleh pemprov dan Komisi II.</w:t>
            </w:r>
            <w:r w:rsidRPr="0003731D">
              <w:rPr>
                <w:rFonts w:ascii="Times New Roman" w:eastAsia="Times New Roman" w:hAnsi="Times New Roman" w:cs="Times New Roman"/>
                <w:sz w:val="20"/>
                <w:szCs w:val="20"/>
                <w:lang w:eastAsia="id-ID"/>
              </w:rPr>
              <w:br/>
              <w:t>Sejak tahun 2010 sudah didesak untuk membuat SOP resolusi konflik tetapi sampai sekarang belum ada inisiatif untuk hal tersebut.</w:t>
            </w:r>
          </w:p>
        </w:tc>
        <w:tc>
          <w:tcPr>
            <w:tcW w:w="138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r>
      <w:tr w:rsidR="0003731D" w:rsidRPr="0003731D" w:rsidTr="0003731D">
        <w:trPr>
          <w:trHeight w:val="331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dokumen/tidak tersedia/tidak dimiliki</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Field Note: Informan tidak tahu tentang hal ini dan berpendapat bila pemerintah, pebisnis dan pihak-pihak non pemerintah yang hendak melakukan aktivitas di wilayah mereka maka senjata Kepala Adat adalah dengan menunjukkan Peta Kampung yang dimilikinya dan sampai saat ini peta tersebut sangat berfungsi untuk menahan para pebisnis untuk tidak menerobos kawasan Kampung Muluy tetapi tidak tahu juga nanti kedepannya karena pemerintah juga masih tidak jelas apa berpihak ke kami masyarakat ini apa ke pebisnis?</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tidak ada</w:t>
            </w:r>
          </w:p>
        </w:tc>
      </w:tr>
      <w:tr w:rsidR="0003731D" w:rsidRPr="0003731D" w:rsidTr="0003731D">
        <w:trPr>
          <w:trHeight w:val="1530"/>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FIId1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Pencegahan kekerasan</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Apakah resolusi konflik terkait pengakuan hak masy adat/lokal sudah mencakup pencegahan kekerasan?</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Dokumen Pemerintah Prov.Kaltim tentang Draft Peraturan Daerah Tentang Rencana Tata Ruang Wilayah Prov.Kaltim Tahun 2011 - 2013</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Sampai saat ini hak adat dan hutan adat belum terakomodasi dalam tata ruang jadi belum ada best practise yang dilakukan kaitannya dengan pengakuan hak masyarakat adat/lokal</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tidak dapat memberikan jawaban memadai/tidak memadai</w:t>
            </w:r>
          </w:p>
        </w:tc>
      </w:tr>
      <w:tr w:rsidR="0003731D" w:rsidRPr="0003731D" w:rsidTr="0003731D">
        <w:trPr>
          <w:trHeight w:val="127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dokumen/tidak tersedia/tidak dimiliki</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Kalau kita lihat sampai sekarang ini tidak ada niat baik dari pemerintah untuk melakukan pencegahan terhadap kekerasan yang terjadi di </w:t>
            </w:r>
            <w:r w:rsidRPr="0003731D">
              <w:rPr>
                <w:rFonts w:ascii="Times New Roman" w:eastAsia="Times New Roman" w:hAnsi="Times New Roman" w:cs="Times New Roman"/>
                <w:sz w:val="20"/>
                <w:szCs w:val="20"/>
                <w:lang w:eastAsia="id-ID"/>
              </w:rPr>
              <w:lastRenderedPageBreak/>
              <w:t>lapangan, kadang terlihat adanya pembiaran dari pemerintah.</w:t>
            </w:r>
          </w:p>
        </w:tc>
        <w:tc>
          <w:tcPr>
            <w:tcW w:w="138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lastRenderedPageBreak/>
              <w:t>1</w:t>
            </w:r>
          </w:p>
        </w:tc>
      </w:tr>
      <w:tr w:rsidR="0003731D" w:rsidRPr="0003731D" w:rsidTr="0003731D">
        <w:trPr>
          <w:trHeight w:val="331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dokumen/tidak tersedia/tidak dimiliki</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0</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Field Note: Informan tidak tahu tentang hal ini dan berpendapat bila pemerintah, pebisnis dan pihak-pihak non pemerintah yang hendak melakukan aktivitas di wilayah mereka maka senjata Kepala Adat adalah dengan menunjukkan Peta Kampung yang dimilikinya dan sampai saat ini peta tersebut sangat berfungsi untuk menahan para pebisnis untuk tidak menerobos kawasan Kampung Muluy tetapi tidak tahu juga nanti kedepannya karena pemerintah juga masih tidak jelas apa berpihak ke kami masyarakat ini apa ke pebisnis?</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tidak ada</w:t>
            </w:r>
          </w:p>
        </w:tc>
      </w:tr>
      <w:tr w:rsidR="0003731D" w:rsidRPr="0003731D" w:rsidTr="0003731D">
        <w:trPr>
          <w:trHeight w:val="1530"/>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FIId2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Penyelesaian konflik</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Apakah resolusi konflik terkait pengakuan hak masy adat/lokal sudah mencakup penyelesaian konflik?</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Dokumen Pemerintah Prov.Kaltim tentang Draft Peraturan Daerah Tentang Rencana Tata Ruang Wilayah Prov.Kaltim Tahun 2011 - 2013</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Sampai saat ini hak adat dan hutan adat belum terakomodasi dalam tata ruang jadi belum ada best practise yang dilakukan kaitannya dengan pengakuan hak masyarakat adat/lokal</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tidak dapat memberikan jawaban memadai/tidak memadai</w:t>
            </w:r>
          </w:p>
        </w:tc>
      </w:tr>
      <w:tr w:rsidR="0003731D" w:rsidRPr="0003731D" w:rsidTr="0003731D">
        <w:trPr>
          <w:trHeight w:val="229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 yang diterima terkait dengan SOP resolusi konflik</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Karena sampai saat ini belum ada SOP untuk resolusi konflik  dan belum jelas terlihat adanya pengakuan pemerintah tentang keberadaan masyarakat adat maka bila ada konflik yang berhubungan dengan masyarakat adat, biasanya langsung diselesaikan di lapangan dengan mediasi dari LSM.</w:t>
            </w:r>
            <w:r w:rsidRPr="0003731D">
              <w:rPr>
                <w:rFonts w:ascii="Times New Roman" w:eastAsia="Times New Roman" w:hAnsi="Times New Roman" w:cs="Times New Roman"/>
                <w:sz w:val="20"/>
                <w:szCs w:val="20"/>
                <w:lang w:eastAsia="id-ID"/>
              </w:rPr>
              <w:br/>
              <w:t>Tidak ada yang sampai ke tingkat birokrasi</w:t>
            </w:r>
          </w:p>
        </w:tc>
        <w:tc>
          <w:tcPr>
            <w:tcW w:w="138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r>
      <w:tr w:rsidR="0003731D" w:rsidRPr="0003731D" w:rsidTr="0003731D">
        <w:trPr>
          <w:trHeight w:val="331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dokumen/tidak tersedia/tidak dimiliki</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Field Note: Informan tidak tahu tentang hal ini dan berpendapat bila pemerintah, pebisnis dan pihak-pihak non pemerintah yang hendak melakukan aktivitas di wilayah mereka maka senjata Kepala Adat adalah dengan menunjukkan Peta Kampung yang dimilikinya dan sampai saat ini peta tersebut sangat berfungsi untuk menahan para pebisnis untuk tidak menerobos kawasan Kampung Muluy tetapi tidak tahu juga nanti kedepannya karena pemerintah juga masih tidak jelas apa berpihak ke kami masyarakat ini apa ke pebisnis?</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tidak dapat memberikan jawaban memadai/tidak memadai</w:t>
            </w:r>
          </w:p>
        </w:tc>
      </w:tr>
      <w:tr w:rsidR="0003731D" w:rsidRPr="0003731D" w:rsidTr="0003731D">
        <w:trPr>
          <w:trHeight w:val="1530"/>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FIId3</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Penerimaan para pihak</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Apakah resolusi konflik terkait pengakuan hak masy adat/lokal sudah mencakup penerimaan para pihak?</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Dokumen Pemerintah Prov.Kaltim tentang Draft Peraturan Daerah Tentang Rencana Tata Ruang Wilayah Prov.Kaltim Tahun 2011 - 2013</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Sampai saat ini hak adat dan hutan adat belum terakomodasi dalam tata ruang jadi belum ada best practise yang dilakukan kaitannya dengan pengakuan hak masyarakat adat/lokal</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tidak dapat memberikan jawaban memadai/tidak memadai</w:t>
            </w:r>
          </w:p>
        </w:tc>
      </w:tr>
      <w:tr w:rsidR="0003731D" w:rsidRPr="0003731D" w:rsidTr="0003731D">
        <w:trPr>
          <w:trHeight w:val="76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 yang diterima terkait dengan SOP resolusi konflik</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Bila melibatkan pemerintah biasanya clear, kadang kala ada tim yang datang dari dinas kehutanan, biasanya dilakukan persektor.</w:t>
            </w:r>
          </w:p>
        </w:tc>
        <w:tc>
          <w:tcPr>
            <w:tcW w:w="138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r>
      <w:tr w:rsidR="0003731D" w:rsidRPr="0003731D" w:rsidTr="0003731D">
        <w:trPr>
          <w:trHeight w:val="331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dokumen/tidak tersedia/tidak dimiliki</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Field Note: Informan tidak tahu tentang hal ini dan berpendapat bila pemerintah, pebisnis dan pihak-pihak non pemerintah yang hendak melakukan aktivitas di wilayah mereka maka senjata Kepala Adat adalah dengan menunjukkan Peta Kampung yang dimilikinya dan sampai saat ini peta tersebut sangat berfungsi untuk menahan para pebisnis untuk tidak menerobos kawasan Kampung Muluy tetapi tidak tahu juga nanti kedepannya karena pemerintah juga masih tidak jelas apa </w:t>
            </w:r>
            <w:r w:rsidRPr="0003731D">
              <w:rPr>
                <w:rFonts w:ascii="Times New Roman" w:eastAsia="Times New Roman" w:hAnsi="Times New Roman" w:cs="Times New Roman"/>
                <w:sz w:val="20"/>
                <w:szCs w:val="20"/>
                <w:lang w:eastAsia="id-ID"/>
              </w:rPr>
              <w:lastRenderedPageBreak/>
              <w:t>berpihak ke kami masyarakat ini apa ke pebisnis?</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lastRenderedPageBreak/>
              <w:t>Informan tidak ada</w:t>
            </w:r>
          </w:p>
        </w:tc>
      </w:tr>
      <w:tr w:rsidR="0003731D" w:rsidRPr="0003731D" w:rsidTr="0003731D">
        <w:trPr>
          <w:trHeight w:val="1530"/>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lastRenderedPageBreak/>
              <w:t>FIId4</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Komitmen tetap dijalankan</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Apakah dalam resolusi konflik terkait pengakuan hak masyarakat adat/lokal, komitmen yang ada tetap dijalankan?</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Dokumen Pemerintah Prov.Kaltim tentang Draft Peraturan Daerah Tentang Rencana Tata Ruang Wilayah Prov.Kaltim Tahun 2011 - 2013</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Sampai saat ini hak adat dan hutan adat belum terakomodasi dalam tata ruang jadi belum ada best practise yang dilakukan kaitannya dengan pengakuan hak masyarakat adat/lokal</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tidak dapat memberikan jawaban memadai/tidak memadai</w:t>
            </w:r>
          </w:p>
        </w:tc>
      </w:tr>
      <w:tr w:rsidR="0003731D" w:rsidRPr="0003731D" w:rsidTr="0003731D">
        <w:trPr>
          <w:trHeight w:val="76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 yang diterima terkait dengan SOP resolusi konflik</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Agar komitmen ini berjalan maka harus terus didampingi, kalau monitoring dilepas maka akan kembali bermasalah.</w:t>
            </w:r>
          </w:p>
        </w:tc>
        <w:tc>
          <w:tcPr>
            <w:tcW w:w="138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2</w:t>
            </w:r>
          </w:p>
        </w:tc>
      </w:tr>
      <w:tr w:rsidR="0003731D" w:rsidRPr="0003731D" w:rsidTr="0003731D">
        <w:trPr>
          <w:trHeight w:val="331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dokumen/tidak tersedia/tidak dimiliki</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Field Note: Informan tidak tahu tentang hal ini dan berpendapat bila pemerintah, pebisnis dan pihak-pihak non pemerintah yang hendak melakukan aktivitas di wilayah mereka maka senjata Kepala Adat adalah dengan menunjukkan Peta Kampung yang dimilikinya dan sampai saat ini peta tersebut sangat berfungsi untuk menahan para pebisnis untuk tidak menerobos kawasan Kampung Muluy tetapi tidak tahu juga nanti kedepannya karena pemerintah juga masih tidak jelas apa berpihak ke kami masyarakat ini apa ke pebisnis?</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tidak ada</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30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e. Jumlah/frekuensi  dan kualitas pemberitaan terkait pengakuan hak masy adat/lokal meningkat</w:t>
            </w:r>
          </w:p>
        </w:tc>
      </w:tr>
      <w:tr w:rsidR="0003731D" w:rsidRPr="0003731D" w:rsidTr="0003731D">
        <w:trPr>
          <w:trHeight w:val="255"/>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 Media cetak</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w:t>
            </w:r>
            <w:r w:rsidRPr="0003731D">
              <w:rPr>
                <w:rFonts w:ascii="Times New Roman" w:eastAsia="Times New Roman" w:hAnsi="Times New Roman" w:cs="Times New Roman"/>
                <w:b/>
                <w:bCs/>
                <w:sz w:val="20"/>
                <w:szCs w:val="20"/>
                <w:lang w:eastAsia="id-ID"/>
              </w:rPr>
              <w:lastRenderedPageBreak/>
              <w:t>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lastRenderedPageBreak/>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w:t>
            </w:r>
            <w:r w:rsidRPr="0003731D">
              <w:rPr>
                <w:rFonts w:ascii="Times New Roman" w:eastAsia="Times New Roman" w:hAnsi="Times New Roman" w:cs="Times New Roman"/>
                <w:b/>
                <w:bCs/>
                <w:sz w:val="20"/>
                <w:szCs w:val="20"/>
                <w:lang w:eastAsia="id-ID"/>
              </w:rPr>
              <w:lastRenderedPageBreak/>
              <w:t>ara</w:t>
            </w:r>
          </w:p>
        </w:tc>
      </w:tr>
      <w:tr w:rsidR="0003731D" w:rsidRPr="0003731D" w:rsidTr="0003731D">
        <w:trPr>
          <w:trHeight w:val="229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lastRenderedPageBreak/>
              <w:t>FIIe1</w:t>
            </w:r>
          </w:p>
        </w:tc>
        <w:tc>
          <w:tcPr>
            <w:tcW w:w="1134"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Jumlah/frekuensi  dan kualitas pemberitaan terkait pengakuan hak masy adat/lokal meningkat</w:t>
            </w:r>
          </w:p>
        </w:tc>
        <w:tc>
          <w:tcPr>
            <w:tcW w:w="1460"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Apakah jumlah/frekuensi  dan kua-litas pemberitaan terkait pengaku-an hak masy adat/lokal mening-kat?</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Jurnalis</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Silahkan lihat hasil media review lokal</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Pemberitaan akan ada bila konflik betul-betul meruncing seperti konflik masyarakat dengan perusahaan tambang batubara yang terjadi di Samboja dan dengan perkebunan sawit di Kutai Barat.</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br/>
              <w:t>Informan berpendapat bahwa jarang ada pemberitaan terkait hal tersebut</w:t>
            </w:r>
          </w:p>
        </w:tc>
      </w:tr>
      <w:tr w:rsidR="0003731D" w:rsidRPr="0003731D" w:rsidTr="0003731D">
        <w:trPr>
          <w:trHeight w:val="229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FIIe2</w:t>
            </w:r>
          </w:p>
        </w:tc>
        <w:tc>
          <w:tcPr>
            <w:tcW w:w="1134"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Cakupan berita  mengenai pengakuan pejabat atas hak masyarakat adat</w:t>
            </w:r>
          </w:p>
        </w:tc>
        <w:tc>
          <w:tcPr>
            <w:tcW w:w="1460"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Apakah cakupan berita mengenai pengakuan pejabat atas hak ma-syarakat adat sudah memadai?</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Jurnalis</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Silahkan lihat hasil media review lokal</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Ada pejabat yang mengatakan bahwa di Kab.Malinau tidak ada konflik kepentingan, mungkin ada pendekatan dari pemerintah setempat kepada masyarakat, karena kenyataannya ada penyerobotan kawasan hutan negara oleh CV.Luhur Perkasa, ada indikasi ketidakberesan dalam pemenuhan dokumen. </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br/>
              <w:t>Informan berpendapat tidak bisa mengkategorikan memadai/tidak memadai</w:t>
            </w:r>
          </w:p>
        </w:tc>
      </w:tr>
      <w:tr w:rsidR="0003731D" w:rsidRPr="0003731D" w:rsidTr="0003731D">
        <w:trPr>
          <w:trHeight w:val="229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FIIe3</w:t>
            </w:r>
          </w:p>
        </w:tc>
        <w:tc>
          <w:tcPr>
            <w:tcW w:w="1134"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Posisi berita dalam media cetak </w:t>
            </w:r>
          </w:p>
        </w:tc>
        <w:tc>
          <w:tcPr>
            <w:tcW w:w="1460"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Apakah Posisi berita dalam media cetak sudah memadai?</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Jurnalis</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Silahkan lihat hasil media review lokal</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memperkirakan hanya sedikit porsi pemberitaan yang betul-betul berhubungan dengan hak masyarakat adat. Tergantung seberapa besar kaitannya dengan kepentingan masyarakat luas, jika imbasnya bisa sampai ke kota-kota lain maka posisi berita bisa di halaman depan.</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br/>
              <w:t>Informan berpendapat tidak bisa mengkategorikan memadai/tidak memadai</w:t>
            </w:r>
          </w:p>
        </w:tc>
      </w:tr>
      <w:tr w:rsidR="0003731D" w:rsidRPr="0003731D" w:rsidTr="0003731D">
        <w:trPr>
          <w:trHeight w:val="15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FIIe4</w:t>
            </w:r>
          </w:p>
        </w:tc>
        <w:tc>
          <w:tcPr>
            <w:tcW w:w="1134"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Posisi media dalam pemberitaan </w:t>
            </w:r>
          </w:p>
        </w:tc>
        <w:tc>
          <w:tcPr>
            <w:tcW w:w="1460"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Apakah Posisi media dalam pemberitaan sudah memadai?</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Jurnalis</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Silahkan lihat hasil media review lokal</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setiap berita yang dianggap layak untuk disampaikan ke public bisa dimuat, ini juga tergantung kepada keputusan redaktur dan kepentingan pemilik perusahaan.</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berpendapat bahwa posisi  media bersifat “abu-abu”</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255"/>
        </w:trPr>
        <w:tc>
          <w:tcPr>
            <w:tcW w:w="3733" w:type="dxa"/>
            <w:gridSpan w:val="3"/>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Isu dalam PGA REDD+</w:t>
            </w:r>
          </w:p>
        </w:tc>
        <w:tc>
          <w:tcPr>
            <w:tcW w:w="5770" w:type="dxa"/>
            <w:gridSpan w:val="4"/>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III. Pengorganisasian Hutan</w:t>
            </w: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30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a. Jumlah biaya transaksi pengurusan izin pengelolaan hutankelola hutan dan lahan gambut</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Wawancara – Sumber informasi</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24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Pengusaha, Organisasi Masyarakat Adat, LSM</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2040"/>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lastRenderedPageBreak/>
              <w:t>FIIIa1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Jumlah biaya transaksi pengurusan izin pengelolaan hutan </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Jumlah biaya transaksi pengurusan izin pengelolaan hutan</w:t>
            </w:r>
          </w:p>
        </w:tc>
        <w:tc>
          <w:tcPr>
            <w:tcW w:w="109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 yang diterima terkait dengan biaya pengurusan iizin pengelolaan hutan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Bukan masalah sesuai atau tidak sesuai, bila perlu tidak ada lagi pemberian izin untuk konsesi hutan maupun tambang karena selama ini yang terjadi adalah pengrusakan lingkungan.</w:t>
            </w:r>
            <w:r w:rsidRPr="0003731D">
              <w:rPr>
                <w:rFonts w:ascii="Times New Roman" w:eastAsia="Times New Roman" w:hAnsi="Times New Roman" w:cs="Times New Roman"/>
                <w:sz w:val="20"/>
                <w:szCs w:val="20"/>
                <w:lang w:eastAsia="id-ID"/>
              </w:rPr>
              <w:br/>
              <w:t>Sejauh ini informasi yang kami tahu bahwa untuk izin konsesi tambang dan hutan sekitar 1 – 3 M</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br/>
              <w:t>Informan tidak dapat memberikan penilaian</w:t>
            </w:r>
          </w:p>
        </w:tc>
      </w:tr>
      <w:tr w:rsidR="0003731D" w:rsidRPr="0003731D" w:rsidTr="0003731D">
        <w:trPr>
          <w:trHeight w:val="124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dokumen/tidak tersedia/tidak dimiliki</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sama sekali tidak tahu tentang biaya-biaya pengurusan izin pengelolaan hutan. Sosialisasi tentang hal ini juga tidak pernah ada.</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br/>
              <w:t>Informan tidak dapat memberikan penilaian sesuai/tdk sesuai</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69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b. Kewenangan dan intervensi pemerintah dalam proses pengelolaan hutan yang menjadi domain pelaku </w:t>
            </w:r>
            <w:r w:rsidRPr="0003731D">
              <w:rPr>
                <w:rFonts w:ascii="Times New Roman" w:eastAsia="Times New Roman" w:hAnsi="Times New Roman" w:cs="Times New Roman"/>
                <w:b/>
                <w:bCs/>
                <w:sz w:val="20"/>
                <w:szCs w:val="20"/>
                <w:lang w:eastAsia="id-ID"/>
              </w:rPr>
              <w:br/>
              <w:t xml:space="preserve">  pemegang ijin</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24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Peraturan Prosedur Pelaksanaan Pengurusan Izin</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1275"/>
        </w:trPr>
        <w:tc>
          <w:tcPr>
            <w:tcW w:w="113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FIIIb1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Jumlah tahapan dan bentuk persyaratan setiap tahapan dalam pengurusan izin </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Dokumen Kementerian Kehutanan RI tentang Pedoman Pemberian Ijin Usaha Hutan Tanaman Copyright 2009;  Lampiran Keputusan Menteri Kehutanan No.21/KPTS II/2001</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1530"/>
        </w:trPr>
        <w:tc>
          <w:tcPr>
            <w:tcW w:w="1139"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Dinas Pertanian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Keputusan Kepala Dinas Perkebunan Prov.Kaltim No.188.4/Kpts-Disbun/I/2010 Tentang Standar Pelayanan Publik Pemberian Advis Teknis Perijinan Usaha Perkebunan Dinas Perkebunan Prov.Kaltim</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1020"/>
        </w:trPr>
        <w:tc>
          <w:tcPr>
            <w:tcW w:w="1139"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BPN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Fiield Note: Tidak ada dokumen yang diterima terkait dengan pengurusan izin dan disarankan untuk ditanyakan kepada Dephut</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255"/>
        </w:trPr>
        <w:tc>
          <w:tcPr>
            <w:tcW w:w="3733" w:type="dxa"/>
            <w:gridSpan w:val="3"/>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lastRenderedPageBreak/>
              <w:t>Isu dalam PGA REDD+</w:t>
            </w:r>
          </w:p>
        </w:tc>
        <w:tc>
          <w:tcPr>
            <w:tcW w:w="5770" w:type="dxa"/>
            <w:gridSpan w:val="4"/>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IV. Pengelolaan Hutan</w:t>
            </w: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63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a. Jumlah kelompok masyarakat adat/lokal yang secara faktual mengelola hutan, gambut, kebun, termasuk </w:t>
            </w:r>
            <w:r w:rsidRPr="0003731D">
              <w:rPr>
                <w:rFonts w:ascii="Times New Roman" w:eastAsia="Times New Roman" w:hAnsi="Times New Roman" w:cs="Times New Roman"/>
                <w:b/>
                <w:bCs/>
                <w:sz w:val="20"/>
                <w:szCs w:val="20"/>
                <w:lang w:eastAsia="id-ID"/>
              </w:rPr>
              <w:br/>
              <w:t xml:space="preserve">  Izin HTR/Hutan Desa/Hutan Kemasyarakatan dalam satu provinsi/kab/kota</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24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Kementerian &amp; Dinas Kehutanan, Kementerian &amp; Dinas Pertanian, BPN &amp; BPN-Daerah</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765"/>
        </w:trPr>
        <w:tc>
          <w:tcPr>
            <w:tcW w:w="113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FIVa1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 yang diterima terkait dengan kelompok masyarakat/lokal yang mengelola hutan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765"/>
        </w:trPr>
        <w:tc>
          <w:tcPr>
            <w:tcW w:w="1139"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Dinas Pertanian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 yang diterima terkait dengan kelompok masyarakat/lokal yang mengelola hutan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765"/>
        </w:trPr>
        <w:tc>
          <w:tcPr>
            <w:tcW w:w="1139"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BPN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 yang diterima terkait dengan kelompok masyarakat/lokal yang mengelola hutan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30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b. Jumlah kawasan yang dikelola secara berkelanjutan oleh pelaku pengelolaan hutan</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24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Pelaku Pemegang Izin, Kementerian &amp; Dinas Kehutanan (Provinsi &amp; Kabupaten)</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246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FIVb1</w:t>
            </w:r>
          </w:p>
        </w:tc>
        <w:tc>
          <w:tcPr>
            <w:tcW w:w="1134"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Jumlah kawasan yang dikelola secara berkelanjutan oleh pelaku pengelolaan hutan </w:t>
            </w:r>
          </w:p>
        </w:tc>
        <w:tc>
          <w:tcPr>
            <w:tcW w:w="1460"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Dalam Dokumen Rancang Bangun Wil.Kesatuan Pengelolaan Hutan Prov.Kaltim, Samarinda, 2010: Tidak ada secara spesifik menyebutkan luas jumlah kawasan yang dikelola secara berkelanjutan  tetapi hanya menyebutkan unit IUPHHK-HA luas seluruhnya 4.018.260 ha dan IUPHHK-HT dengan luas seluruhnya 1.637.286 ha</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2</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30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c. Persentase hutan yang memiliki pengelola (KPH)</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24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Kementerian Kehutanan &amp; Dinas Kehutanan (Provinsi &amp; Kabupaten)</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lastRenderedPageBreak/>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328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FIVc1</w:t>
            </w:r>
          </w:p>
        </w:tc>
        <w:tc>
          <w:tcPr>
            <w:tcW w:w="1134"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Persentase hutan yang memiliki pengelola (KPH)</w:t>
            </w:r>
          </w:p>
        </w:tc>
        <w:tc>
          <w:tcPr>
            <w:tcW w:w="1460"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 Persetujuan Gubernur Kaltim No.521/3109/Ek Tanggal 23 April 2012, Perihal Pembentukan kelembagaan KPH.  2). KPH Prov. Kaltim telah ditetapkan oleh Menteri Kehutanan sesuai SK.674/MENHUT-II/2011 tgl. 1 Desember 2011 dengan luas areal ± 12.567.139 ha, terdiri dari:</w:t>
            </w:r>
            <w:r w:rsidRPr="0003731D">
              <w:rPr>
                <w:rFonts w:ascii="Times New Roman" w:eastAsia="Times New Roman" w:hAnsi="Times New Roman" w:cs="Times New Roman"/>
                <w:sz w:val="20"/>
                <w:szCs w:val="20"/>
                <w:lang w:eastAsia="id-ID"/>
              </w:rPr>
              <w:br/>
              <w:t>• KPHL sejumlah 4 unit dengan luas pengelolaan  ± 734.685 ha</w:t>
            </w:r>
            <w:r w:rsidRPr="0003731D">
              <w:rPr>
                <w:rFonts w:ascii="Times New Roman" w:eastAsia="Times New Roman" w:hAnsi="Times New Roman" w:cs="Times New Roman"/>
                <w:sz w:val="20"/>
                <w:szCs w:val="20"/>
                <w:lang w:eastAsia="id-ID"/>
              </w:rPr>
              <w:br/>
              <w:t>• KPHP sejumlah 30 unit dengan luas pengelolaan ± 11.832.454 ha</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4</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30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d. Jumlah pengelolaan hutan berbasis ecological services    </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24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Kementerian Kehutanan (Dirjen PHKA, BUK), Dinas Kehutanan (Provinsi &amp; Kabupaten)</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280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FIVd1</w:t>
            </w:r>
          </w:p>
        </w:tc>
        <w:tc>
          <w:tcPr>
            <w:tcW w:w="1134"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Jumlah pengelolaan hutan berbasis ecological services </w:t>
            </w:r>
          </w:p>
        </w:tc>
        <w:tc>
          <w:tcPr>
            <w:tcW w:w="1460"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Dalam Dokumen Rancang Bangun Wil.Kesatuan Pengelolaan Hutan Prov.Kaltim, Samarinda, 2010: Hutan yang dialokasikan untuk masyarakat 1,5 Juta ha   Dan kawasan pengelolaan hutan terdiri atas: 1. Kawasan Hutan Konservasi; Kawasan Hutan Lindung; 3. Kawasan Hutan Produksi dan tidak ada yang secara khusus menyebutkan pengelolaan hutan berbasis ecological service</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255"/>
        </w:trPr>
        <w:tc>
          <w:tcPr>
            <w:tcW w:w="3733" w:type="dxa"/>
            <w:gridSpan w:val="3"/>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Isu dalam PGA REDD+</w:t>
            </w:r>
          </w:p>
        </w:tc>
        <w:tc>
          <w:tcPr>
            <w:tcW w:w="5770" w:type="dxa"/>
            <w:gridSpan w:val="4"/>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V. Pengendalian dan Penegakan Hukum</w:t>
            </w: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30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a. Jumlah pelanggaran penggunaan anggaran di tingkat provinsi dan kab/kota </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24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Laporan Inspektorat, BPKP &amp; BPK, Bawasda</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FVa1</w:t>
            </w:r>
          </w:p>
        </w:tc>
        <w:tc>
          <w:tcPr>
            <w:tcW w:w="1134"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Jumlah pelanggaran pengguna-an anggaran di tingkat provinsi dan kab/kota  </w:t>
            </w:r>
          </w:p>
        </w:tc>
        <w:tc>
          <w:tcPr>
            <w:tcW w:w="1460"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BPK, BPKP, BAWASDA, INSPEKTORAT</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Dokumen tidak ada/tidak diterima karena dianggap bersifat rahasia</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30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b. Jumlah sanksi administratif serius (pencabutan izin, dan denda, yang telah dijatuhkan)</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24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Kementrian &amp; Dinas Kehutanan</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FVb1</w:t>
            </w:r>
          </w:p>
        </w:tc>
        <w:tc>
          <w:tcPr>
            <w:tcW w:w="1134"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Jumlah sanksi administratif serius (pencabutan izin, dan denda, yang telah dijatuhkan)</w:t>
            </w:r>
          </w:p>
        </w:tc>
        <w:tc>
          <w:tcPr>
            <w:tcW w:w="1460"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 yang diterima terkait dengan jumlah pemberian sanksi</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30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c. Jumlah kasus pidana kehutanan yang diajukan/diproses oleh polisi </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24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Kepolisian (Nasional &amp; Daerah)</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298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FVc1</w:t>
            </w:r>
          </w:p>
        </w:tc>
        <w:tc>
          <w:tcPr>
            <w:tcW w:w="1134"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Jumlah kasus pidana kehutanan yang diajukan/diproses oleh polisi </w:t>
            </w:r>
          </w:p>
        </w:tc>
        <w:tc>
          <w:tcPr>
            <w:tcW w:w="1460"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Polres</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Field Note: Tidak ada dokumen/tidak tersedia/tidak dimiliki. Narasaumber tidak/belum bersedia ditemui sebelum ada disposisi terhadap surat permohonan wawancara yang disampaikan kepada POLDA Kaltim/Bagian Kepegawaian, dimana pada saat yang sama situasi </w:t>
            </w:r>
            <w:r w:rsidRPr="0003731D">
              <w:rPr>
                <w:rFonts w:ascii="Times New Roman" w:eastAsia="Times New Roman" w:hAnsi="Times New Roman" w:cs="Times New Roman"/>
                <w:sz w:val="20"/>
                <w:szCs w:val="20"/>
                <w:lang w:eastAsia="id-ID"/>
              </w:rPr>
              <w:lastRenderedPageBreak/>
              <w:t>dilingkungan Polda Kaltim sedang dalam masa-masa pergantian Kapolda lama kepada Kapolda baru. ( masih dalam masa proses menunggu disposisi).</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lastRenderedPageBreak/>
              <w:t>1</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58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d. Jumlah kasus terkait kehutanan (korupsi, AML, Pidanan LH, atau Pajak yang terkait kehutanan) yang </w:t>
            </w:r>
            <w:r w:rsidRPr="0003731D">
              <w:rPr>
                <w:rFonts w:ascii="Times New Roman" w:eastAsia="Times New Roman" w:hAnsi="Times New Roman" w:cs="Times New Roman"/>
                <w:b/>
                <w:bCs/>
                <w:sz w:val="20"/>
                <w:szCs w:val="20"/>
                <w:lang w:eastAsia="id-ID"/>
              </w:rPr>
              <w:br/>
              <w:t xml:space="preserve">  diputuskan oleh MA</w:t>
            </w:r>
            <w:r w:rsidRPr="0003731D">
              <w:rPr>
                <w:rFonts w:ascii="Times New Roman" w:eastAsia="Times New Roman" w:hAnsi="Times New Roman" w:cs="Times New Roman"/>
                <w:b/>
                <w:bCs/>
                <w:sz w:val="20"/>
                <w:szCs w:val="20"/>
                <w:lang w:eastAsia="id-ID"/>
              </w:rPr>
              <w:br/>
              <w:t xml:space="preserve"> </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24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Kepolisian (Nasional &amp; Daerah)</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298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FVd1</w:t>
            </w:r>
          </w:p>
        </w:tc>
        <w:tc>
          <w:tcPr>
            <w:tcW w:w="1134"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Jumlah kasus terkait kehutanan (korupsi, AML, Pidanan LH, atau Pajak yang terkait kehutanan) yang diputuskan oleh MA</w:t>
            </w:r>
          </w:p>
        </w:tc>
        <w:tc>
          <w:tcPr>
            <w:tcW w:w="1460"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Polres</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Field Note: Tidak ada dokumen/tidak tersedia/tidak dimiliki. Narasaumber tidak/belum bersedia ditemui sebelum ada disposisi terhadap surat permohonan wawancara yang disampaikan kepada POLDA Kaltim/Bagian Kepegawaian, dimana pada saat yang sama situasi dilingkungan Polda Kaltim sedang dalam masa-masa pergantian Kapolda lama kepada Kapolda baru. ( masih dalam masa proses menunggu disposisi).</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30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e. Index integritas KPK sektor kehutanan</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24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Hasil Survai KPK tentang Integritas</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FVe1</w:t>
            </w:r>
          </w:p>
        </w:tc>
        <w:tc>
          <w:tcPr>
            <w:tcW w:w="1134"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Index integritas KPK sektor kehutanan</w:t>
            </w:r>
          </w:p>
        </w:tc>
        <w:tc>
          <w:tcPr>
            <w:tcW w:w="1460"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KPK &amp; TII</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 integritas KPK di sektor kehutanan yang diterima</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30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f. Index persepsi korupsi di lokasi assesmen (TII)</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24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Hasil Survai Persepsi Transparansi Internasional Indonesia (TII)</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11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FVf1</w:t>
            </w:r>
          </w:p>
        </w:tc>
        <w:tc>
          <w:tcPr>
            <w:tcW w:w="1134"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Index persepsi korupsi di lokasi assesmen (TII) </w:t>
            </w:r>
          </w:p>
        </w:tc>
        <w:tc>
          <w:tcPr>
            <w:tcW w:w="1460"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KPK &amp; TII</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Dokumen tidak diterima/dokumen tidak dimiliki dan perkiraan bersarannyapun tidak disebutkan.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61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g. Nilai kerugian negara pada Satuan Kerja Pengelola Hutan/Unit Pengelola Hutan, yang didasarkan atas </w:t>
            </w:r>
            <w:r w:rsidRPr="0003731D">
              <w:rPr>
                <w:rFonts w:ascii="Times New Roman" w:eastAsia="Times New Roman" w:hAnsi="Times New Roman" w:cs="Times New Roman"/>
                <w:b/>
                <w:bCs/>
                <w:sz w:val="20"/>
                <w:szCs w:val="20"/>
                <w:lang w:eastAsia="id-ID"/>
              </w:rPr>
              <w:br/>
              <w:t xml:space="preserve">       hasil pemeriksaan Laporan Keuangan Satuan Kerja tersebut oleh BPK RI</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24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Laporan BPK</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178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FVg1</w:t>
            </w:r>
          </w:p>
        </w:tc>
        <w:tc>
          <w:tcPr>
            <w:tcW w:w="1134"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Keuangan Satuan Kerja tersebut oleh BPK RI.  </w:t>
            </w:r>
          </w:p>
        </w:tc>
        <w:tc>
          <w:tcPr>
            <w:tcW w:w="1460"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BPK, BPKP, BAWASDA, INSPEKTORAT</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Dokumen tidak dapat diberikan karena sifatnya rahasia. Perkiraan bersarannyapun tidak dapat disebutkan.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30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h. Jumlah pengaduan masyarakat tentang kinerja pengelolaan hutan</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24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Kementerian &amp; Dinas Kehutanan</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FVh1</w:t>
            </w:r>
          </w:p>
        </w:tc>
        <w:tc>
          <w:tcPr>
            <w:tcW w:w="1134"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Jumlah pengaduan masyarakat tentang kinerja pengelolaan hutan </w:t>
            </w:r>
          </w:p>
        </w:tc>
        <w:tc>
          <w:tcPr>
            <w:tcW w:w="1460"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 yang diterima terkait dengan pengaduan masyarakat</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255"/>
        </w:trPr>
        <w:tc>
          <w:tcPr>
            <w:tcW w:w="3733" w:type="dxa"/>
            <w:gridSpan w:val="3"/>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Isu dalam PGA REDD+</w:t>
            </w:r>
          </w:p>
        </w:tc>
        <w:tc>
          <w:tcPr>
            <w:tcW w:w="5770" w:type="dxa"/>
            <w:gridSpan w:val="4"/>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VI. Infrastruktur REDD+</w:t>
            </w: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30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24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a. Jumlah kelompok masyarakat adat/lokal dan bisnis yg dapat akses di dalam lokasi REDD+</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lastRenderedPageBreak/>
              <w:t>Sumber informasi</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Kementerian &amp; Dinas Kehutanan, Satgas REDD+, Organisasi Masyarakat  Adat/Lokal</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FVIa1</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Jumlah kelompok masyarakat adat/lokal dan bisnis yg dapat akses di dalam lokasi REDD+</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 yang diterima terkait dengan kelompok masyarakat adat/lokal dan bisnis</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93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Satgas REDD+</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 yang diterima terkait jumlah kelompok masyarakat adat/lokal dan bisnis di dalam lokasi REDD+</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255"/>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30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b. Tingkat penerimaan Strategi REDD+ oleh para aktor</w:t>
            </w:r>
          </w:p>
        </w:tc>
      </w:tr>
      <w:tr w:rsidR="0003731D" w:rsidRPr="0003731D" w:rsidTr="0003731D">
        <w:trPr>
          <w:trHeight w:val="66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informasi</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Pemerintah (Kementrian &amp; Dinas Kehutanan, Kementrian &amp; Dinas Pertanian, BAPPENAS &amp; BAPPEDA), Organisasi Masyarakat Sipil, Organisasi Masyarakat Adat/Lokal</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3060"/>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FVIb1</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Bagaimana penerimaan Strate-gi REDD+ oleh para aktor?</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29"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848" w:type="dxa"/>
            <w:tcBorders>
              <w:top w:val="nil"/>
              <w:left w:val="nil"/>
              <w:bottom w:val="nil"/>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Field Note: Informan  berpendapat hal ini sebaiknya ditanyakan langsung ke Pokja REDD. Informan tidak tahu banyak tentang keberadaan REDD+ meskipun Pokja REDD berkantor di Dinas Kehutanan, menurut informan sosialiasi sudah ada tetapi aplikasinya yang belum ada di tingkat provinsi. </w:t>
            </w:r>
            <w:r w:rsidRPr="0003731D">
              <w:rPr>
                <w:rFonts w:ascii="Times New Roman" w:eastAsia="Times New Roman" w:hAnsi="Times New Roman" w:cs="Times New Roman"/>
                <w:sz w:val="20"/>
                <w:szCs w:val="20"/>
                <w:lang w:eastAsia="id-ID"/>
              </w:rPr>
              <w:br/>
              <w:t>Perlu adanya kerangka REDD+  dan pembagian kerja yang jelas karena kelembagaan KPH sudah ada yang siap untuk ambil bagian jika memang diperlukan.</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Informan belum dapat memberi penilaian diterima/tidak diterima </w:t>
            </w:r>
          </w:p>
        </w:tc>
      </w:tr>
      <w:tr w:rsidR="0003731D" w:rsidRPr="0003731D" w:rsidTr="0003731D">
        <w:trPr>
          <w:trHeight w:val="153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Bappeda</w:t>
            </w:r>
          </w:p>
        </w:tc>
        <w:tc>
          <w:tcPr>
            <w:tcW w:w="1701"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29" w:type="dxa"/>
            <w:tcBorders>
              <w:top w:val="nil"/>
              <w:left w:val="nil"/>
              <w:bottom w:val="single" w:sz="4" w:space="0" w:color="auto"/>
              <w:right w:val="nil"/>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Sepengetahuan saya starategi REDD+ sedang dalam prose penyusunan. Jadi saya belum bisa memberikan komentar soal ini. Yang penting adalah bagaimana proses penyusunan ini berlangsung secara transparan dan partisipatif</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2</w:t>
            </w:r>
          </w:p>
        </w:tc>
      </w:tr>
      <w:tr w:rsidR="0003731D" w:rsidRPr="0003731D" w:rsidTr="0003731D">
        <w:trPr>
          <w:trHeight w:val="76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29"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Saya rasa mungkin fifty –fifty dari pihak akademisi dan LSM.</w:t>
            </w:r>
            <w:r w:rsidRPr="0003731D">
              <w:rPr>
                <w:rFonts w:ascii="Times New Roman" w:eastAsia="Times New Roman" w:hAnsi="Times New Roman" w:cs="Times New Roman"/>
                <w:sz w:val="20"/>
                <w:szCs w:val="20"/>
                <w:lang w:eastAsia="id-ID"/>
              </w:rPr>
              <w:br/>
              <w:t>Kalau dari pemerintah itu bersifat abu-abu.</w:t>
            </w:r>
          </w:p>
        </w:tc>
        <w:tc>
          <w:tcPr>
            <w:tcW w:w="138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3</w:t>
            </w:r>
          </w:p>
        </w:tc>
      </w:tr>
      <w:tr w:rsidR="0003731D" w:rsidRPr="0003731D" w:rsidTr="0003731D">
        <w:trPr>
          <w:trHeight w:val="153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29"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Field Note: Informan sama sekali tidak tahu tentang strategi REDD+ dan tidak tahu ada Pokja REDD di Kalimantan Timur.</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Informan belum dapat memberi penilaian diterima/tidak diterima </w:t>
            </w:r>
          </w:p>
        </w:tc>
      </w:tr>
      <w:tr w:rsidR="0003731D" w:rsidRPr="0003731D" w:rsidTr="0003731D">
        <w:trPr>
          <w:trHeight w:val="3315"/>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FVIb2</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Apakah Kelembagaan REDD+ sudah memadai?</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29"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Field Note: Informan  berpendapat hal ini sebaiknya ditanyakan langsung ke Pokja REDD. Informan tidak tahu banyak tentang keberadaan REDD+ meskipun Pokja REDD berkantor di Dinas Kehutanan, menurut informan sosialiasi sudah ada tetapi aplikasinya yang belum ada di tingkat provinsi. </w:t>
            </w:r>
            <w:r w:rsidRPr="0003731D">
              <w:rPr>
                <w:rFonts w:ascii="Times New Roman" w:eastAsia="Times New Roman" w:hAnsi="Times New Roman" w:cs="Times New Roman"/>
                <w:sz w:val="20"/>
                <w:szCs w:val="20"/>
                <w:lang w:eastAsia="id-ID"/>
              </w:rPr>
              <w:br/>
              <w:t>Perlu adanya kerangka REDD+  dan pembagian kerja yang jelas karena kelembagaan KPH sudah ada yang siap untuk ambil bagian jika memang diperlukan.</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Informan belum dapat memberi penilaian diterima/tidak diterima </w:t>
            </w:r>
          </w:p>
        </w:tc>
      </w:tr>
      <w:tr w:rsidR="0003731D" w:rsidRPr="0003731D" w:rsidTr="0003731D">
        <w:trPr>
          <w:trHeight w:val="76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Bappeda</w:t>
            </w:r>
          </w:p>
        </w:tc>
        <w:tc>
          <w:tcPr>
            <w:tcW w:w="1701"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29"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Field Note: Informan berpendapat bahwa sejauh ini belum mendengar tentang kelembagaan REDD+ . </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tidak dapat memberi penilaian</w:t>
            </w:r>
          </w:p>
        </w:tc>
      </w:tr>
      <w:tr w:rsidR="0003731D" w:rsidRPr="0003731D" w:rsidTr="0003731D">
        <w:trPr>
          <w:trHeight w:val="102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29"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Belum bisa menilai apakah jangka waktu 4 tahun harus sudah bisa inflementasi. </w:t>
            </w:r>
            <w:r w:rsidRPr="0003731D">
              <w:rPr>
                <w:rFonts w:ascii="Times New Roman" w:eastAsia="Times New Roman" w:hAnsi="Times New Roman" w:cs="Times New Roman"/>
                <w:sz w:val="20"/>
                <w:szCs w:val="20"/>
                <w:lang w:eastAsia="id-ID"/>
              </w:rPr>
              <w:br/>
              <w:t>Sudah kah ditemukan formula yang efektif agar masyarakat tahu tentang REDD+?</w:t>
            </w:r>
          </w:p>
        </w:tc>
        <w:tc>
          <w:tcPr>
            <w:tcW w:w="138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2</w:t>
            </w:r>
          </w:p>
        </w:tc>
      </w:tr>
      <w:tr w:rsidR="0003731D" w:rsidRPr="0003731D" w:rsidTr="0003731D">
        <w:trPr>
          <w:trHeight w:val="153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29"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Field Note: Informan sama sekali tidak tahu tentang strategi REDD+ dan tidak tahu ada Pokja REDD di Kalimantan Timur.</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belum dapat memberi penilaian dmemadai/tidak memadai</w:t>
            </w:r>
          </w:p>
        </w:tc>
      </w:tr>
      <w:tr w:rsidR="0003731D" w:rsidRPr="0003731D" w:rsidTr="0003731D">
        <w:trPr>
          <w:trHeight w:val="3315"/>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lastRenderedPageBreak/>
              <w:t>FVIb3</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Apakah Kerangka Pengaman sudah memadai?</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29"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Field Note: Informan  berpendapat hal ini sebaiknya ditanyakan langsung ke Pokja REDD. Informan tidak tahu banyak tentang keberadaan REDD+ meskipun Pokja REDD berkantor di Dinas Kehutanan, menurut informan sosialiasi sudah ada tetapi aplikasinya yang belum ada di tingkat provinsi. </w:t>
            </w:r>
            <w:r w:rsidRPr="0003731D">
              <w:rPr>
                <w:rFonts w:ascii="Times New Roman" w:eastAsia="Times New Roman" w:hAnsi="Times New Roman" w:cs="Times New Roman"/>
                <w:sz w:val="20"/>
                <w:szCs w:val="20"/>
                <w:lang w:eastAsia="id-ID"/>
              </w:rPr>
              <w:br/>
              <w:t>Perlu adanya kerangka REDD+  dan pembagian kerja yang jelas karena kelembagaan KPH sudah ada yang siap untuk ambil bagian jika memang diperlukan.</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Informan belum dapat memberi penilaian diterima/tidak diterima </w:t>
            </w:r>
          </w:p>
        </w:tc>
      </w:tr>
      <w:tr w:rsidR="0003731D" w:rsidRPr="0003731D" w:rsidTr="0003731D">
        <w:trPr>
          <w:trHeight w:val="76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Bappeda</w:t>
            </w:r>
          </w:p>
        </w:tc>
        <w:tc>
          <w:tcPr>
            <w:tcW w:w="1701"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29"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Field Note: Informan berpendapat bahwa sejauh ini belum mendengar tentang kelembagaan REDD+ . </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tidak dapat memberi penilaian</w:t>
            </w:r>
          </w:p>
        </w:tc>
      </w:tr>
      <w:tr w:rsidR="0003731D" w:rsidRPr="0003731D" w:rsidTr="0003731D">
        <w:trPr>
          <w:trHeight w:val="51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29"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Sampai sejauh ini belum tahu kinerja Pokja REDD</w:t>
            </w:r>
          </w:p>
        </w:tc>
        <w:tc>
          <w:tcPr>
            <w:tcW w:w="138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2</w:t>
            </w:r>
          </w:p>
        </w:tc>
      </w:tr>
      <w:tr w:rsidR="0003731D" w:rsidRPr="0003731D" w:rsidTr="0003731D">
        <w:trPr>
          <w:trHeight w:val="153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29"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Field Note: Informan sama sekali tidak tahu tentang strategi REDD+ dan tidak tahu ada Pokja REDD+ di Kalimantan Timur.</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belum dapat memberi penilaian dmemadai/tidak memadai</w:t>
            </w:r>
          </w:p>
        </w:tc>
      </w:tr>
      <w:tr w:rsidR="0003731D" w:rsidRPr="0003731D" w:rsidTr="0003731D">
        <w:trPr>
          <w:trHeight w:val="3315"/>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FVIb4</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Apakah (mekanisme) MRV sudah memadai?</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29"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Field Note: Informan  berpendapat hal ini sebaiknya ditanyakan langsung ke Pokja REDD. Informan tidak tahu banyak tentang keberadaan REDD+ meskipun Pokja REDD+ berkantor di Dinas Kehutanan, menurut informan sosialiasi sudah ada tetapi aplikasinya yang belum ada di tingkat provinsi. </w:t>
            </w:r>
            <w:r w:rsidRPr="0003731D">
              <w:rPr>
                <w:rFonts w:ascii="Times New Roman" w:eastAsia="Times New Roman" w:hAnsi="Times New Roman" w:cs="Times New Roman"/>
                <w:sz w:val="20"/>
                <w:szCs w:val="20"/>
                <w:lang w:eastAsia="id-ID"/>
              </w:rPr>
              <w:br/>
              <w:t>Perlu adanya kerangka REDD+  dan pembagian kerja yang jelas karena kelembagaan KPH sudah ada yang siap untuk ambil bagian jika memang diperlukan.</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Informan belum dapat memberi penilaian diterima/tidak diterima </w:t>
            </w:r>
          </w:p>
        </w:tc>
      </w:tr>
      <w:tr w:rsidR="0003731D" w:rsidRPr="0003731D" w:rsidTr="0003731D">
        <w:trPr>
          <w:trHeight w:val="765"/>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Bappeda</w:t>
            </w:r>
          </w:p>
        </w:tc>
        <w:tc>
          <w:tcPr>
            <w:tcW w:w="1701"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29"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Field Note: Informan  berpendapat bahwa mengenai MRV sebaiknya ditanyakan ke lembaga yang </w:t>
            </w:r>
            <w:r w:rsidRPr="0003731D">
              <w:rPr>
                <w:rFonts w:ascii="Times New Roman" w:eastAsia="Times New Roman" w:hAnsi="Times New Roman" w:cs="Times New Roman"/>
                <w:sz w:val="20"/>
                <w:szCs w:val="20"/>
                <w:lang w:eastAsia="id-ID"/>
              </w:rPr>
              <w:lastRenderedPageBreak/>
              <w:t>menganagi REDD+</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lastRenderedPageBreak/>
              <w:t>Informan tidak dapat memberi penilaian</w:t>
            </w:r>
          </w:p>
        </w:tc>
      </w:tr>
      <w:tr w:rsidR="0003731D" w:rsidRPr="0003731D" w:rsidTr="0003731D">
        <w:trPr>
          <w:trHeight w:val="51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LSM</w:t>
            </w:r>
          </w:p>
        </w:tc>
        <w:tc>
          <w:tcPr>
            <w:tcW w:w="1701"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29"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Sampai sejauh ini belum tahu kinerja Pokja REDD+</w:t>
            </w:r>
          </w:p>
        </w:tc>
        <w:tc>
          <w:tcPr>
            <w:tcW w:w="1382" w:type="dxa"/>
            <w:tcBorders>
              <w:top w:val="nil"/>
              <w:left w:val="nil"/>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2</w:t>
            </w:r>
          </w:p>
        </w:tc>
      </w:tr>
      <w:tr w:rsidR="0003731D" w:rsidRPr="0003731D" w:rsidTr="0003731D">
        <w:trPr>
          <w:trHeight w:val="1530"/>
        </w:trPr>
        <w:tc>
          <w:tcPr>
            <w:tcW w:w="1139"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460" w:type="dxa"/>
            <w:vMerge/>
            <w:tcBorders>
              <w:top w:val="nil"/>
              <w:left w:val="single" w:sz="4" w:space="0" w:color="auto"/>
              <w:bottom w:val="single" w:sz="4" w:space="0" w:color="auto"/>
              <w:right w:val="single" w:sz="4" w:space="0" w:color="auto"/>
            </w:tcBorders>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Organisasi Masyarakat Adat Lokal</w:t>
            </w:r>
          </w:p>
        </w:tc>
        <w:tc>
          <w:tcPr>
            <w:tcW w:w="1701"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129"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Field Note: Informan sama sekali tidak tahu tentang strategi REDD+ dan tidak tahu ada Pokja REDD+ di Kalimantan Timur.</w:t>
            </w:r>
          </w:p>
        </w:tc>
        <w:tc>
          <w:tcPr>
            <w:tcW w:w="1382" w:type="dxa"/>
            <w:tcBorders>
              <w:top w:val="nil"/>
              <w:left w:val="nil"/>
              <w:bottom w:val="single" w:sz="4" w:space="0" w:color="auto"/>
              <w:right w:val="single" w:sz="4" w:space="0" w:color="auto"/>
            </w:tcBorders>
            <w:shd w:val="clear" w:color="000000" w:fill="FFFF00"/>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Informan belum dapat memberi penilaian dmemadai/tidak memadai</w:t>
            </w:r>
          </w:p>
        </w:tc>
      </w:tr>
      <w:tr w:rsidR="0003731D" w:rsidRPr="0003731D" w:rsidTr="0003731D">
        <w:trPr>
          <w:trHeight w:val="255"/>
        </w:trPr>
        <w:tc>
          <w:tcPr>
            <w:tcW w:w="1139"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30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24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c. Tingkat deforestasi di lokasi assesmen</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informasi</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Kementerian &amp; Dinas Kehutanan</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204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FVIc1</w:t>
            </w:r>
          </w:p>
        </w:tc>
        <w:tc>
          <w:tcPr>
            <w:tcW w:w="1134"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Tingkat deforestasi di lokasi assesmen </w:t>
            </w:r>
          </w:p>
        </w:tc>
        <w:tc>
          <w:tcPr>
            <w:tcW w:w="1460"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Berdasarkan Data dan Informasi Kehutanan Prop. Kaltim yang di terbitkan oleh Pusat Inventarisasi dan Statistik Kehutanan Badan Planologi Kehutanan Dephut Tahun 2002: Rata-rata Laju deforestasi tahunan periode 1985-1997 adalah sekitar 373.159 ha/ tahun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255"/>
        </w:trPr>
        <w:tc>
          <w:tcPr>
            <w:tcW w:w="1139"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30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24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d. Tingkat degradasi hutan di lokasi assesmen</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informasi</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Kementerian &amp; Dinas Kehutanan</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153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FVId1</w:t>
            </w:r>
          </w:p>
        </w:tc>
        <w:tc>
          <w:tcPr>
            <w:tcW w:w="1134"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Tingkat degradasi hutan di lokasi assesmen </w:t>
            </w:r>
          </w:p>
        </w:tc>
        <w:tc>
          <w:tcPr>
            <w:tcW w:w="1460"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Berdasarkan Data dan Informasi Kehutanan Prop. Kaltim yang di terbitkan oleh Pusat Inventarisasi dan Statistik Kehutanan Badan Planologi Kehutanan Dephut Tahun 2002: luasnya 2.433.406</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r w:rsidR="0003731D" w:rsidRPr="0003731D" w:rsidTr="0003731D">
        <w:trPr>
          <w:trHeight w:val="255"/>
        </w:trPr>
        <w:tc>
          <w:tcPr>
            <w:tcW w:w="1139"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460"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092"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129"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c>
          <w:tcPr>
            <w:tcW w:w="1848"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vAlign w:val="bottom"/>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p>
        </w:tc>
      </w:tr>
      <w:tr w:rsidR="0003731D" w:rsidRPr="0003731D" w:rsidTr="0003731D">
        <w:trPr>
          <w:trHeight w:val="600"/>
        </w:trPr>
        <w:tc>
          <w:tcPr>
            <w:tcW w:w="1139"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Indikator</w:t>
            </w:r>
          </w:p>
        </w:tc>
        <w:tc>
          <w:tcPr>
            <w:tcW w:w="1134"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p>
        </w:tc>
        <w:tc>
          <w:tcPr>
            <w:tcW w:w="7152" w:type="dxa"/>
            <w:gridSpan w:val="5"/>
            <w:tcBorders>
              <w:top w:val="nil"/>
              <w:left w:val="nil"/>
              <w:bottom w:val="nil"/>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xml:space="preserve">: e. Jumlah kawasan yang dikelola secara berkelanjutan oleh pelaku pengelolaan hutan dalam pelaksanaan </w:t>
            </w:r>
            <w:r w:rsidRPr="0003731D">
              <w:rPr>
                <w:rFonts w:ascii="Times New Roman" w:eastAsia="Times New Roman" w:hAnsi="Times New Roman" w:cs="Times New Roman"/>
                <w:b/>
                <w:bCs/>
                <w:sz w:val="20"/>
                <w:szCs w:val="20"/>
                <w:lang w:eastAsia="id-ID"/>
              </w:rPr>
              <w:br/>
              <w:t xml:space="preserve">  REDD+ (demonstration ativities)</w:t>
            </w:r>
          </w:p>
        </w:tc>
      </w:tr>
      <w:tr w:rsidR="0003731D" w:rsidRPr="0003731D" w:rsidTr="0003731D">
        <w:trPr>
          <w:trHeight w:val="300"/>
        </w:trPr>
        <w:tc>
          <w:tcPr>
            <w:tcW w:w="2273" w:type="dxa"/>
            <w:gridSpan w:val="2"/>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informasi</w:t>
            </w:r>
          </w:p>
        </w:tc>
        <w:tc>
          <w:tcPr>
            <w:tcW w:w="1460" w:type="dxa"/>
            <w:tcBorders>
              <w:top w:val="nil"/>
              <w:left w:val="nil"/>
              <w:bottom w:val="nil"/>
              <w:right w:val="nil"/>
            </w:tcBorders>
            <w:shd w:val="clear" w:color="auto" w:fill="auto"/>
            <w:noWrap/>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p>
        </w:tc>
        <w:tc>
          <w:tcPr>
            <w:tcW w:w="7152" w:type="dxa"/>
            <w:gridSpan w:val="5"/>
            <w:tcBorders>
              <w:top w:val="nil"/>
              <w:left w:val="nil"/>
              <w:bottom w:val="single" w:sz="4" w:space="0" w:color="auto"/>
              <w:right w:val="nil"/>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 Kementerian &amp; Dinas Kehutanan</w:t>
            </w:r>
          </w:p>
        </w:tc>
      </w:tr>
      <w:tr w:rsidR="0003731D" w:rsidRPr="0003731D" w:rsidTr="0003731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lastRenderedPageBreak/>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Panduan Analisis Dokumen</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Pertanyaan Wawancara</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Dokumen</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Dokumen</w:t>
            </w:r>
          </w:p>
        </w:tc>
        <w:tc>
          <w:tcPr>
            <w:tcW w:w="1848"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b/>
                <w:bCs/>
                <w:sz w:val="20"/>
                <w:szCs w:val="20"/>
                <w:lang w:eastAsia="id-ID"/>
              </w:rPr>
            </w:pPr>
            <w:r w:rsidRPr="0003731D">
              <w:rPr>
                <w:rFonts w:ascii="Times New Roman" w:eastAsia="Times New Roman" w:hAnsi="Times New Roman" w:cs="Times New Roman"/>
                <w:b/>
                <w:bCs/>
                <w:sz w:val="20"/>
                <w:szCs w:val="20"/>
                <w:lang w:eastAsia="id-ID"/>
              </w:rPr>
              <w:t>Kategori Data Wawancara</w:t>
            </w:r>
          </w:p>
        </w:tc>
      </w:tr>
      <w:tr w:rsidR="0003731D" w:rsidRPr="0003731D" w:rsidTr="0003731D">
        <w:trPr>
          <w:trHeight w:val="153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FVIe1</w:t>
            </w:r>
          </w:p>
        </w:tc>
        <w:tc>
          <w:tcPr>
            <w:tcW w:w="1134"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xml:space="preserve">Jumlah kawasan yang dikelola secara berkelanjutan oleh pelaku pengelolaan hutan dalam pelaksanaan REDD+ (demonstration ativities) </w:t>
            </w:r>
          </w:p>
        </w:tc>
        <w:tc>
          <w:tcPr>
            <w:tcW w:w="1460"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092"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Tidak ada dokumen yang diterima terkait dengan jumlah kawasan untuk pengelolaan hutan dalam pelaksanaan REDD+</w:t>
            </w:r>
          </w:p>
        </w:tc>
        <w:tc>
          <w:tcPr>
            <w:tcW w:w="1129" w:type="dxa"/>
            <w:tcBorders>
              <w:top w:val="nil"/>
              <w:left w:val="nil"/>
              <w:bottom w:val="single" w:sz="4" w:space="0" w:color="auto"/>
              <w:right w:val="single" w:sz="4" w:space="0" w:color="auto"/>
            </w:tcBorders>
            <w:shd w:val="clear" w:color="auto" w:fill="auto"/>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1</w:t>
            </w:r>
          </w:p>
        </w:tc>
        <w:tc>
          <w:tcPr>
            <w:tcW w:w="1848" w:type="dxa"/>
            <w:tcBorders>
              <w:top w:val="nil"/>
              <w:left w:val="nil"/>
              <w:bottom w:val="single" w:sz="4" w:space="0" w:color="auto"/>
              <w:right w:val="single" w:sz="4" w:space="0" w:color="auto"/>
            </w:tcBorders>
            <w:shd w:val="clear" w:color="000000" w:fill="000000"/>
            <w:vAlign w:val="center"/>
            <w:hideMark/>
          </w:tcPr>
          <w:p w:rsidR="0003731D" w:rsidRPr="0003731D" w:rsidRDefault="0003731D" w:rsidP="0003731D">
            <w:pPr>
              <w:spacing w:after="0" w:line="240" w:lineRule="auto"/>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3731D" w:rsidRPr="0003731D" w:rsidRDefault="0003731D" w:rsidP="0003731D">
            <w:pPr>
              <w:spacing w:after="0" w:line="240" w:lineRule="auto"/>
              <w:jc w:val="center"/>
              <w:rPr>
                <w:rFonts w:ascii="Times New Roman" w:eastAsia="Times New Roman" w:hAnsi="Times New Roman" w:cs="Times New Roman"/>
                <w:sz w:val="20"/>
                <w:szCs w:val="20"/>
                <w:lang w:eastAsia="id-ID"/>
              </w:rPr>
            </w:pPr>
            <w:r w:rsidRPr="0003731D">
              <w:rPr>
                <w:rFonts w:ascii="Times New Roman" w:eastAsia="Times New Roman" w:hAnsi="Times New Roman" w:cs="Times New Roman"/>
                <w:sz w:val="20"/>
                <w:szCs w:val="20"/>
                <w:lang w:eastAsia="id-ID"/>
              </w:rPr>
              <w:t> </w:t>
            </w:r>
          </w:p>
        </w:tc>
      </w:tr>
    </w:tbl>
    <w:p w:rsidR="0003731D" w:rsidRDefault="0003731D"/>
    <w:sectPr w:rsidR="0003731D"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compat/>
  <w:rsids>
    <w:rsidRoot w:val="00A91768"/>
    <w:rsid w:val="0003731D"/>
    <w:rsid w:val="0026067C"/>
    <w:rsid w:val="00265D91"/>
    <w:rsid w:val="004165D1"/>
    <w:rsid w:val="004570C7"/>
    <w:rsid w:val="005D2D3D"/>
    <w:rsid w:val="006E5970"/>
    <w:rsid w:val="009F3E98"/>
    <w:rsid w:val="00A91768"/>
    <w:rsid w:val="00BB5203"/>
    <w:rsid w:val="00C622FE"/>
    <w:rsid w:val="00D74DB4"/>
    <w:rsid w:val="00D9058A"/>
    <w:rsid w:val="00F11640"/>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03731D"/>
    <w:pPr>
      <w:spacing w:before="100" w:beforeAutospacing="1" w:after="100" w:afterAutospacing="1" w:line="240" w:lineRule="auto"/>
    </w:pPr>
    <w:rPr>
      <w:rFonts w:ascii="Times New Roman" w:eastAsia="Times New Roman" w:hAnsi="Times New Roman" w:cs="Times New Roman"/>
      <w:i/>
      <w:iCs/>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957107674">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 w:id="202061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25</Pages>
  <Words>6460</Words>
  <Characters>36826</Characters>
  <Application>Microsoft Office Word</Application>
  <DocSecurity>0</DocSecurity>
  <Lines>306</Lines>
  <Paragraphs>86</Paragraphs>
  <ScaleCrop>false</ScaleCrop>
  <Company/>
  <LinksUpToDate>false</LinksUpToDate>
  <CharactersWithSpaces>43200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2012-10-16T09:32:00Z</dcterms:modified>
</cp:coreProperties>
</file>